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CD6" w:rsidRPr="00F52321" w:rsidRDefault="00651CD6" w:rsidP="00F52321">
      <w:pPr>
        <w:spacing w:after="0" w:line="480" w:lineRule="auto"/>
        <w:jc w:val="center"/>
        <w:rPr>
          <w:rFonts w:ascii="Times New Roman" w:hAnsi="Times New Roman" w:cs="Times New Roman"/>
          <w:b/>
          <w:bCs/>
          <w:sz w:val="28"/>
          <w:szCs w:val="32"/>
          <w:lang w:bidi="ar-DZ"/>
        </w:rPr>
      </w:pPr>
      <w:r w:rsidRPr="00F52321">
        <w:rPr>
          <w:rFonts w:ascii="Times New Roman" w:hAnsi="Times New Roman" w:cs="Times New Roman"/>
          <w:b/>
          <w:bCs/>
          <w:sz w:val="28"/>
          <w:szCs w:val="32"/>
          <w:lang w:bidi="ar-DZ"/>
        </w:rPr>
        <w:t>Université 20 Août 1955 Skikda</w:t>
      </w:r>
    </w:p>
    <w:p w:rsidR="00651CD6" w:rsidRPr="00651CD6" w:rsidRDefault="00651CD6" w:rsidP="00651CD6">
      <w:pPr>
        <w:spacing w:after="120" w:line="276" w:lineRule="auto"/>
        <w:jc w:val="center"/>
        <w:rPr>
          <w:rFonts w:ascii="Times New Roman" w:hAnsi="Times New Roman" w:cs="Times New Roman"/>
          <w:b/>
          <w:bCs/>
          <w:sz w:val="28"/>
          <w:szCs w:val="32"/>
          <w:rtl/>
        </w:rPr>
      </w:pPr>
      <w:r w:rsidRPr="00B720D5">
        <w:rPr>
          <w:rFonts w:ascii="Times New Roman" w:hAnsi="Times New Roman" w:cs="Times New Roman"/>
          <w:b/>
          <w:bCs/>
          <w:sz w:val="28"/>
          <w:szCs w:val="32"/>
        </w:rPr>
        <w:t>Le séminaire national « </w:t>
      </w:r>
      <w:r w:rsidR="00B720D5" w:rsidRPr="00AF3646">
        <w:rPr>
          <w:rFonts w:ascii="Times New Roman" w:hAnsi="Times New Roman" w:cs="Times New Roman"/>
          <w:b/>
          <w:bCs/>
          <w:sz w:val="28"/>
          <w:szCs w:val="32"/>
        </w:rPr>
        <w:t>L’assurance qualité dans l’enseignement supérieur face aux nouvelles orientations du secteur en Algérie »</w:t>
      </w:r>
    </w:p>
    <w:p w:rsidR="00651CD6" w:rsidRPr="00651CD6" w:rsidRDefault="00651CD6" w:rsidP="00651CD6">
      <w:pPr>
        <w:spacing w:after="0" w:line="360" w:lineRule="auto"/>
        <w:jc w:val="center"/>
        <w:rPr>
          <w:rFonts w:ascii="Times New Roman" w:hAnsi="Times New Roman" w:cs="Times New Roman"/>
          <w:i/>
          <w:iCs/>
          <w:sz w:val="28"/>
          <w:szCs w:val="32"/>
          <w:rtl/>
        </w:rPr>
      </w:pPr>
      <w:r w:rsidRPr="00651CD6">
        <w:rPr>
          <w:rFonts w:ascii="Times New Roman" w:hAnsi="Times New Roman" w:cs="Times New Roman"/>
          <w:i/>
          <w:iCs/>
          <w:sz w:val="28"/>
          <w:szCs w:val="32"/>
        </w:rPr>
        <w:t>Article sous le nom de :</w:t>
      </w:r>
    </w:p>
    <w:p w:rsidR="00651CD6" w:rsidRPr="00E23F38" w:rsidRDefault="00E23F38" w:rsidP="00D83309">
      <w:pPr>
        <w:spacing w:before="120"/>
        <w:jc w:val="center"/>
        <w:rPr>
          <w:rFonts w:ascii="Times New Roman" w:hAnsi="Times New Roman" w:cs="Times New Roman"/>
          <w:b/>
          <w:bCs/>
          <w:sz w:val="24"/>
          <w:szCs w:val="28"/>
        </w:rPr>
      </w:pPr>
      <w:bookmarkStart w:id="0" w:name="_Hlk205668944"/>
      <w:r>
        <w:rPr>
          <w:rFonts w:ascii="Times New Roman" w:hAnsi="Times New Roman" w:cs="Times New Roman"/>
          <w:b/>
          <w:bCs/>
          <w:sz w:val="36"/>
          <w:szCs w:val="40"/>
        </w:rPr>
        <w:t>La mobilité des étudiants</w:t>
      </w:r>
      <w:r w:rsidR="00AF3646">
        <w:rPr>
          <w:rFonts w:ascii="Times New Roman" w:hAnsi="Times New Roman" w:cs="Times New Roman"/>
          <w:b/>
          <w:bCs/>
          <w:sz w:val="36"/>
          <w:szCs w:val="40"/>
        </w:rPr>
        <w:t xml:space="preserve"> via Erasmus</w:t>
      </w:r>
      <w:r w:rsidRPr="00E23F38">
        <w:rPr>
          <w:rFonts w:ascii="Times New Roman" w:hAnsi="Times New Roman" w:cs="Times New Roman"/>
          <w:b/>
          <w:bCs/>
          <w:sz w:val="36"/>
          <w:szCs w:val="40"/>
        </w:rPr>
        <w:t>comme moyen d’assurance de la qualité de l’enseignement supérieur</w:t>
      </w:r>
    </w:p>
    <w:bookmarkEnd w:id="0"/>
    <w:p w:rsidR="00651CD6" w:rsidRPr="00651CD6" w:rsidRDefault="00651CD6" w:rsidP="00651CD6">
      <w:pPr>
        <w:jc w:val="center"/>
        <w:rPr>
          <w:rFonts w:ascii="Times New Roman" w:hAnsi="Times New Roman" w:cs="Times New Roman"/>
          <w:i/>
          <w:iCs/>
        </w:rPr>
      </w:pPr>
      <w:r w:rsidRPr="00651CD6">
        <w:rPr>
          <w:rFonts w:ascii="Times New Roman" w:hAnsi="Times New Roman" w:cs="Times New Roman"/>
          <w:i/>
          <w:iCs/>
        </w:rPr>
        <w:t>Par :</w:t>
      </w:r>
    </w:p>
    <w:p w:rsidR="00E23F38" w:rsidRPr="00651CD6" w:rsidRDefault="00E23F38" w:rsidP="00E23F38">
      <w:pPr>
        <w:spacing w:line="240" w:lineRule="auto"/>
        <w:jc w:val="center"/>
        <w:rPr>
          <w:rStyle w:val="Rfrenceintense"/>
          <w:rFonts w:eastAsiaTheme="minorHAnsi" w:cs="Times New Roman"/>
          <w:i/>
          <w:iCs/>
          <w:szCs w:val="24"/>
          <w:rtl/>
          <w:lang w:val="en-US"/>
        </w:rPr>
      </w:pPr>
      <w:r w:rsidRPr="00EC555B">
        <w:rPr>
          <w:rFonts w:ascii="Times New Roman" w:hAnsi="Times New Roman" w:cs="Times New Roman"/>
          <w:szCs w:val="24"/>
          <w:lang w:val="en-US"/>
        </w:rPr>
        <w:t>Dr.</w:t>
      </w:r>
      <w:r w:rsidRPr="00EC555B">
        <w:rPr>
          <w:rFonts w:ascii="Times New Roman" w:hAnsi="Times New Roman" w:cs="Times New Roman"/>
          <w:lang w:val="en-US"/>
        </w:rPr>
        <w:t>Lezghed</w:t>
      </w:r>
      <w:r w:rsidR="00E736EB">
        <w:rPr>
          <w:rFonts w:ascii="Times New Roman" w:hAnsi="Times New Roman" w:cs="Times New Roman"/>
          <w:lang w:val="en-US"/>
        </w:rPr>
        <w:t xml:space="preserve"> </w:t>
      </w:r>
      <w:r w:rsidRPr="00EC555B">
        <w:rPr>
          <w:rFonts w:ascii="Times New Roman" w:hAnsi="Times New Roman" w:cs="Times New Roman"/>
          <w:lang w:val="en-US"/>
        </w:rPr>
        <w:t xml:space="preserve">Ouassim / </w:t>
      </w:r>
      <w:hyperlink r:id="rId8" w:history="1">
        <w:r w:rsidRPr="00EC555B">
          <w:rPr>
            <w:rStyle w:val="Lienhypertexte"/>
            <w:rFonts w:ascii="Times New Roman" w:hAnsi="Times New Roman" w:cs="Times New Roman"/>
            <w:i/>
            <w:iCs/>
            <w:lang w:val="en-US"/>
          </w:rPr>
          <w:t>Lezghed.research@gmail.com</w:t>
        </w:r>
      </w:hyperlink>
    </w:p>
    <w:p w:rsidR="00651CD6" w:rsidRPr="00D709CE" w:rsidRDefault="00651CD6" w:rsidP="00651CD6">
      <w:pPr>
        <w:spacing w:line="240" w:lineRule="auto"/>
        <w:jc w:val="center"/>
        <w:rPr>
          <w:rStyle w:val="Lienhypertexte"/>
          <w:rFonts w:ascii="Times New Roman" w:hAnsi="Times New Roman" w:cs="Times New Roman"/>
          <w:i/>
          <w:iCs/>
          <w:lang w:val="en-US" w:bidi="ar-DZ"/>
        </w:rPr>
      </w:pPr>
      <w:r w:rsidRPr="00D709CE">
        <w:rPr>
          <w:rFonts w:ascii="Times New Roman" w:hAnsi="Times New Roman" w:cs="Times New Roman"/>
          <w:lang w:val="en-US"/>
        </w:rPr>
        <w:t>Dr. Terfas</w:t>
      </w:r>
      <w:r w:rsidR="00E736EB">
        <w:rPr>
          <w:rFonts w:ascii="Times New Roman" w:hAnsi="Times New Roman" w:cs="Times New Roman"/>
          <w:lang w:val="en-US"/>
        </w:rPr>
        <w:t xml:space="preserve"> </w:t>
      </w:r>
      <w:r w:rsidRPr="00D709CE">
        <w:rPr>
          <w:rFonts w:ascii="Times New Roman" w:hAnsi="Times New Roman" w:cs="Times New Roman"/>
          <w:lang w:val="en-US"/>
        </w:rPr>
        <w:t>Djamel</w:t>
      </w:r>
      <w:r w:rsidR="00E736EB">
        <w:rPr>
          <w:rFonts w:ascii="Times New Roman" w:hAnsi="Times New Roman" w:cs="Times New Roman"/>
          <w:lang w:val="en-US"/>
        </w:rPr>
        <w:t xml:space="preserve"> </w:t>
      </w:r>
      <w:r w:rsidRPr="00D709CE">
        <w:rPr>
          <w:rFonts w:ascii="Times New Roman" w:hAnsi="Times New Roman" w:cs="Times New Roman"/>
          <w:lang w:val="en-US"/>
        </w:rPr>
        <w:t xml:space="preserve">Eddine / </w:t>
      </w:r>
      <w:hyperlink r:id="rId9" w:history="1">
        <w:r w:rsidRPr="00D709CE">
          <w:rPr>
            <w:rStyle w:val="Lienhypertexte"/>
            <w:rFonts w:ascii="Times New Roman" w:hAnsi="Times New Roman" w:cs="Times New Roman"/>
            <w:i/>
            <w:iCs/>
            <w:lang w:val="en-US" w:bidi="ar-DZ"/>
          </w:rPr>
          <w:t>D.terfas@univ-skikda.dz</w:t>
        </w:r>
      </w:hyperlink>
    </w:p>
    <w:p w:rsidR="00E23F38" w:rsidRPr="00D709CE" w:rsidRDefault="00E23F38" w:rsidP="00651CD6">
      <w:pPr>
        <w:spacing w:line="240" w:lineRule="auto"/>
        <w:jc w:val="center"/>
        <w:rPr>
          <w:rFonts w:ascii="Times New Roman" w:hAnsi="Times New Roman" w:cs="Times New Roman"/>
          <w:lang w:val="en-US"/>
        </w:rPr>
      </w:pPr>
    </w:p>
    <w:p w:rsidR="00651CD6" w:rsidRPr="00564CE6" w:rsidRDefault="00651CD6" w:rsidP="00651CD6">
      <w:pPr>
        <w:pStyle w:val="Titre9"/>
        <w:spacing w:after="120"/>
      </w:pPr>
      <w:r w:rsidRPr="00111184">
        <w:t>Résumé</w:t>
      </w:r>
    </w:p>
    <w:p w:rsidR="0026463E" w:rsidRPr="0026463E" w:rsidRDefault="00342F89" w:rsidP="00EF07A2">
      <w:pPr>
        <w:pStyle w:val="a"/>
        <w:spacing w:line="276" w:lineRule="auto"/>
        <w:rPr>
          <w:rFonts w:eastAsiaTheme="minorHAnsi"/>
          <w:szCs w:val="24"/>
          <w:lang w:eastAsia="en-US"/>
        </w:rPr>
      </w:pPr>
      <w:r w:rsidRPr="00D709CE">
        <w:rPr>
          <w:rFonts w:eastAsiaTheme="minorHAnsi"/>
          <w:szCs w:val="24"/>
          <w:lang w:eastAsia="en-US"/>
        </w:rPr>
        <w:t>Afin d’assurer la qualité</w:t>
      </w:r>
      <w:r w:rsidR="00156F9D" w:rsidRPr="00D709CE">
        <w:rPr>
          <w:rFonts w:eastAsiaTheme="minorHAnsi"/>
          <w:szCs w:val="24"/>
          <w:lang w:eastAsia="en-US"/>
        </w:rPr>
        <w:t>,</w:t>
      </w:r>
      <w:r w:rsidRPr="00D709CE">
        <w:rPr>
          <w:rFonts w:eastAsiaTheme="minorHAnsi"/>
          <w:szCs w:val="24"/>
          <w:lang w:eastAsia="en-US"/>
        </w:rPr>
        <w:t xml:space="preserve"> plusieurs mécanismes, approches ou programmes peuvent être déployésselon le domaine investi. </w:t>
      </w:r>
      <w:r w:rsidR="000B75C2" w:rsidRPr="00D709CE">
        <w:rPr>
          <w:rFonts w:eastAsiaTheme="minorHAnsi"/>
          <w:szCs w:val="24"/>
          <w:lang w:eastAsia="en-US"/>
        </w:rPr>
        <w:t>A</w:t>
      </w:r>
      <w:r w:rsidRPr="00D709CE">
        <w:rPr>
          <w:rFonts w:eastAsiaTheme="minorHAnsi"/>
          <w:szCs w:val="24"/>
          <w:lang w:eastAsia="en-US"/>
        </w:rPr>
        <w:t xml:space="preserve">u niveau de l’enseignement supérieure, la mobilité internationale sort du lot comme un potentiel </w:t>
      </w:r>
      <w:r w:rsidR="000B75C2" w:rsidRPr="00D709CE">
        <w:rPr>
          <w:rFonts w:eastAsiaTheme="minorHAnsi"/>
          <w:szCs w:val="24"/>
          <w:lang w:eastAsia="en-US"/>
        </w:rPr>
        <w:t>dispositifpermettant</w:t>
      </w:r>
      <w:r w:rsidRPr="00D709CE">
        <w:rPr>
          <w:rFonts w:eastAsiaTheme="minorHAnsi"/>
          <w:szCs w:val="24"/>
          <w:lang w:eastAsia="en-US"/>
        </w:rPr>
        <w:t xml:space="preserve"> d’impacter la qualité. </w:t>
      </w:r>
      <w:r w:rsidR="000B75C2" w:rsidRPr="00D709CE">
        <w:rPr>
          <w:rFonts w:eastAsiaTheme="minorHAnsi"/>
          <w:szCs w:val="24"/>
          <w:lang w:eastAsia="en-US"/>
        </w:rPr>
        <w:t xml:space="preserve">Dans ce contexte, </w:t>
      </w:r>
      <w:r w:rsidR="00EF07A2">
        <w:rPr>
          <w:rFonts w:eastAsiaTheme="minorHAnsi"/>
          <w:szCs w:val="24"/>
          <w:lang w:eastAsia="en-US"/>
        </w:rPr>
        <w:t>l</w:t>
      </w:r>
      <w:r w:rsidRPr="00D709CE">
        <w:rPr>
          <w:rFonts w:eastAsiaTheme="minorHAnsi"/>
          <w:szCs w:val="24"/>
          <w:lang w:eastAsia="en-US"/>
        </w:rPr>
        <w:t xml:space="preserve">e programme Erasmus </w:t>
      </w:r>
      <w:r w:rsidR="000B75C2" w:rsidRPr="00D709CE">
        <w:rPr>
          <w:rFonts w:eastAsiaTheme="minorHAnsi"/>
          <w:szCs w:val="24"/>
          <w:lang w:eastAsia="en-US"/>
        </w:rPr>
        <w:t xml:space="preserve">est </w:t>
      </w:r>
      <w:r w:rsidRPr="00D709CE">
        <w:rPr>
          <w:rFonts w:eastAsiaTheme="minorHAnsi"/>
          <w:szCs w:val="24"/>
          <w:lang w:eastAsia="en-US"/>
        </w:rPr>
        <w:t>un cas d’</w:t>
      </w:r>
      <w:r w:rsidR="000B75C2" w:rsidRPr="00D709CE">
        <w:rPr>
          <w:rFonts w:eastAsiaTheme="minorHAnsi"/>
          <w:szCs w:val="24"/>
          <w:lang w:eastAsia="en-US"/>
        </w:rPr>
        <w:t>étude</w:t>
      </w:r>
      <w:r w:rsidRPr="00D709CE">
        <w:rPr>
          <w:rFonts w:eastAsiaTheme="minorHAnsi"/>
          <w:szCs w:val="24"/>
          <w:lang w:eastAsia="en-US"/>
        </w:rPr>
        <w:t xml:space="preserve"> de choix </w:t>
      </w:r>
      <w:r w:rsidR="000B75C2" w:rsidRPr="00D709CE">
        <w:rPr>
          <w:rFonts w:eastAsiaTheme="minorHAnsi"/>
          <w:szCs w:val="24"/>
          <w:lang w:eastAsia="en-US"/>
        </w:rPr>
        <w:t>permettant</w:t>
      </w:r>
      <w:r w:rsidR="00156F9D" w:rsidRPr="00D709CE">
        <w:rPr>
          <w:rFonts w:eastAsiaTheme="minorHAnsi"/>
          <w:szCs w:val="24"/>
          <w:lang w:eastAsia="en-US"/>
        </w:rPr>
        <w:t>d’</w:t>
      </w:r>
      <w:r w:rsidRPr="00D709CE">
        <w:rPr>
          <w:rFonts w:eastAsiaTheme="minorHAnsi"/>
          <w:szCs w:val="24"/>
          <w:lang w:eastAsia="en-US"/>
        </w:rPr>
        <w:t xml:space="preserve">illustrer comment la mobilité </w:t>
      </w:r>
      <w:r w:rsidR="00156F9D" w:rsidRPr="00D709CE">
        <w:rPr>
          <w:rFonts w:eastAsiaTheme="minorHAnsi"/>
          <w:szCs w:val="24"/>
          <w:lang w:eastAsia="en-US"/>
        </w:rPr>
        <w:t xml:space="preserve">des </w:t>
      </w:r>
      <w:r w:rsidRPr="00D709CE">
        <w:rPr>
          <w:rFonts w:eastAsiaTheme="minorHAnsi"/>
          <w:szCs w:val="24"/>
          <w:lang w:eastAsia="en-US"/>
        </w:rPr>
        <w:t>étudiant</w:t>
      </w:r>
      <w:r w:rsidR="00156F9D" w:rsidRPr="00D709CE">
        <w:rPr>
          <w:rFonts w:eastAsiaTheme="minorHAnsi"/>
          <w:szCs w:val="24"/>
          <w:lang w:eastAsia="en-US"/>
        </w:rPr>
        <w:t>s</w:t>
      </w:r>
      <w:r w:rsidR="00D709CE" w:rsidRPr="00D709CE">
        <w:rPr>
          <w:rFonts w:eastAsiaTheme="minorHAnsi"/>
          <w:szCs w:val="24"/>
          <w:lang w:eastAsia="en-US"/>
        </w:rPr>
        <w:t>impacte-t</w:t>
      </w:r>
      <w:r w:rsidR="00177C4C" w:rsidRPr="00D709CE">
        <w:rPr>
          <w:rFonts w:eastAsiaTheme="minorHAnsi"/>
          <w:szCs w:val="24"/>
          <w:lang w:eastAsia="en-US"/>
        </w:rPr>
        <w:t>-elle</w:t>
      </w:r>
      <w:r w:rsidRPr="00D709CE">
        <w:rPr>
          <w:rFonts w:eastAsiaTheme="minorHAnsi"/>
          <w:szCs w:val="24"/>
          <w:lang w:eastAsia="en-US"/>
        </w:rPr>
        <w:t xml:space="preserve"> l’assurance qualité de </w:t>
      </w:r>
      <w:r w:rsidR="000B75C2" w:rsidRPr="00D709CE">
        <w:rPr>
          <w:rFonts w:eastAsiaTheme="minorHAnsi"/>
          <w:szCs w:val="24"/>
          <w:lang w:eastAsia="en-US"/>
        </w:rPr>
        <w:t>l’enseigne</w:t>
      </w:r>
      <w:r w:rsidR="00CE126E">
        <w:rPr>
          <w:rFonts w:eastAsiaTheme="minorHAnsi"/>
          <w:szCs w:val="24"/>
          <w:lang w:eastAsia="en-US"/>
        </w:rPr>
        <w:t>me</w:t>
      </w:r>
      <w:r w:rsidR="000B75C2" w:rsidRPr="00D709CE">
        <w:rPr>
          <w:rFonts w:eastAsiaTheme="minorHAnsi"/>
          <w:szCs w:val="24"/>
          <w:lang w:eastAsia="en-US"/>
        </w:rPr>
        <w:t>ntsupérieure</w:t>
      </w:r>
      <w:r w:rsidRPr="00D709CE">
        <w:rPr>
          <w:rFonts w:eastAsiaTheme="minorHAnsi"/>
          <w:szCs w:val="24"/>
          <w:lang w:eastAsia="en-US"/>
        </w:rPr>
        <w:t xml:space="preserve"> des participants.</w:t>
      </w:r>
      <w:r w:rsidR="001043D7">
        <w:rPr>
          <w:rFonts w:eastAsiaTheme="minorHAnsi"/>
          <w:szCs w:val="24"/>
          <w:lang w:eastAsia="en-US"/>
        </w:rPr>
        <w:t>A</w:t>
      </w:r>
      <w:r w:rsidR="000B75C2" w:rsidRPr="00D709CE">
        <w:rPr>
          <w:rFonts w:eastAsiaTheme="minorHAnsi"/>
          <w:szCs w:val="24"/>
          <w:lang w:eastAsia="en-US"/>
        </w:rPr>
        <w:t xml:space="preserve">u niveau individuel, la mobilité permet </w:t>
      </w:r>
      <w:r w:rsidR="00564CE6" w:rsidRPr="00D709CE">
        <w:rPr>
          <w:rFonts w:eastAsiaTheme="minorHAnsi"/>
          <w:szCs w:val="24"/>
          <w:lang w:eastAsia="en-US"/>
        </w:rPr>
        <w:t>de renforcer le parcours personnel et professionnel des étudiants</w:t>
      </w:r>
      <w:r w:rsidR="00177C4C" w:rsidRPr="00D709CE">
        <w:rPr>
          <w:rFonts w:eastAsiaTheme="minorHAnsi"/>
          <w:szCs w:val="24"/>
          <w:lang w:eastAsia="en-US"/>
        </w:rPr>
        <w:t xml:space="preserve">ce qui impactedirectement </w:t>
      </w:r>
      <w:r w:rsidR="00564CE6" w:rsidRPr="00D709CE">
        <w:rPr>
          <w:rFonts w:eastAsiaTheme="minorHAnsi"/>
          <w:szCs w:val="24"/>
          <w:lang w:eastAsia="en-US"/>
        </w:rPr>
        <w:t xml:space="preserve">la pertinence de leur éducation supérieure. Au niveau institutionnel, </w:t>
      </w:r>
      <w:r w:rsidR="0026463E" w:rsidRPr="00D709CE">
        <w:rPr>
          <w:rFonts w:eastAsiaTheme="minorHAnsi"/>
          <w:szCs w:val="24"/>
          <w:lang w:eastAsia="en-US"/>
        </w:rPr>
        <w:t>la mobilité</w:t>
      </w:r>
      <w:r w:rsidR="00564CE6" w:rsidRPr="00D709CE">
        <w:rPr>
          <w:rFonts w:eastAsiaTheme="minorHAnsi"/>
          <w:szCs w:val="24"/>
          <w:lang w:eastAsia="en-US"/>
        </w:rPr>
        <w:t xml:space="preserve"> permet de faciliter l’harmonisation des programmes et incite à une amélioration continue du parcours pédagogique.</w:t>
      </w:r>
      <w:r w:rsidR="0086518B" w:rsidRPr="00D709CE">
        <w:rPr>
          <w:rFonts w:eastAsiaTheme="minorHAnsi"/>
          <w:szCs w:val="24"/>
          <w:lang w:eastAsia="en-US"/>
        </w:rPr>
        <w:t xml:space="preserve">Le double impact de la mobilité </w:t>
      </w:r>
      <w:r w:rsidR="00EF07A2">
        <w:rPr>
          <w:rFonts w:eastAsiaTheme="minorHAnsi"/>
          <w:szCs w:val="24"/>
          <w:lang w:eastAsia="en-US"/>
        </w:rPr>
        <w:t>des étudiants</w:t>
      </w:r>
      <w:r w:rsidR="0086518B" w:rsidRPr="00D709CE">
        <w:rPr>
          <w:rFonts w:eastAsiaTheme="minorHAnsi"/>
          <w:szCs w:val="24"/>
          <w:lang w:eastAsia="en-US"/>
        </w:rPr>
        <w:t xml:space="preserve"> démontre qu'elle est un levier permettant d'enrichir et d’affiner les procédures d'assurance qualité au sein de l'enseignement supérieur.</w:t>
      </w:r>
    </w:p>
    <w:p w:rsidR="00651CD6" w:rsidRPr="00487258" w:rsidRDefault="00651CD6" w:rsidP="008A7584">
      <w:pPr>
        <w:pStyle w:val="Titre9"/>
        <w:bidi w:val="0"/>
        <w:spacing w:before="120" w:after="120" w:line="276" w:lineRule="auto"/>
        <w:jc w:val="left"/>
        <w:rPr>
          <w:b w:val="0"/>
          <w:bCs w:val="0"/>
        </w:rPr>
      </w:pPr>
      <w:r w:rsidRPr="00156F9D">
        <w:t>Mots clés</w:t>
      </w:r>
      <w:r w:rsidRPr="00487258">
        <w:rPr>
          <w:b w:val="0"/>
          <w:bCs w:val="0"/>
        </w:rPr>
        <w:t xml:space="preserve"> : </w:t>
      </w:r>
      <w:r w:rsidR="007D7AC5" w:rsidRPr="00487258">
        <w:rPr>
          <w:b w:val="0"/>
          <w:bCs w:val="0"/>
        </w:rPr>
        <w:t xml:space="preserve">Enseignement </w:t>
      </w:r>
      <w:r w:rsidR="002E48C2" w:rsidRPr="00487258">
        <w:rPr>
          <w:b w:val="0"/>
          <w:bCs w:val="0"/>
        </w:rPr>
        <w:t>Supérieur</w:t>
      </w:r>
      <w:r w:rsidR="002E48C2">
        <w:rPr>
          <w:b w:val="0"/>
          <w:bCs w:val="0"/>
        </w:rPr>
        <w:t xml:space="preserve"> ;</w:t>
      </w:r>
      <w:r w:rsidR="00564CE6" w:rsidRPr="00487258">
        <w:rPr>
          <w:b w:val="0"/>
          <w:bCs w:val="0"/>
        </w:rPr>
        <w:t xml:space="preserve">Assurance </w:t>
      </w:r>
      <w:r w:rsidR="002E48C2" w:rsidRPr="00487258">
        <w:rPr>
          <w:b w:val="0"/>
          <w:bCs w:val="0"/>
        </w:rPr>
        <w:t>qualité</w:t>
      </w:r>
      <w:r w:rsidR="002E48C2">
        <w:rPr>
          <w:b w:val="0"/>
          <w:bCs w:val="0"/>
        </w:rPr>
        <w:t xml:space="preserve"> ;</w:t>
      </w:r>
      <w:r w:rsidR="002E48C2" w:rsidRPr="00487258">
        <w:rPr>
          <w:b w:val="0"/>
          <w:bCs w:val="0"/>
        </w:rPr>
        <w:t>Erasmus</w:t>
      </w:r>
      <w:r w:rsidR="002E48C2">
        <w:rPr>
          <w:b w:val="0"/>
          <w:bCs w:val="0"/>
        </w:rPr>
        <w:t xml:space="preserve"> ;</w:t>
      </w:r>
      <w:r w:rsidR="00564CE6" w:rsidRPr="00487258">
        <w:rPr>
          <w:b w:val="0"/>
          <w:bCs w:val="0"/>
        </w:rPr>
        <w:t xml:space="preserve"> Mobilité des </w:t>
      </w:r>
      <w:r w:rsidR="007D7AC5" w:rsidRPr="00487258">
        <w:rPr>
          <w:b w:val="0"/>
          <w:bCs w:val="0"/>
        </w:rPr>
        <w:t>étudiants</w:t>
      </w:r>
      <w:r w:rsidR="008A7584">
        <w:rPr>
          <w:b w:val="0"/>
          <w:bCs w:val="0"/>
        </w:rPr>
        <w:t>.</w:t>
      </w:r>
    </w:p>
    <w:p w:rsidR="00D709CE" w:rsidRPr="00F52321" w:rsidRDefault="00D709CE" w:rsidP="00651CD6">
      <w:pPr>
        <w:pStyle w:val="Titre9"/>
        <w:spacing w:after="120"/>
        <w:rPr>
          <w:sz w:val="18"/>
          <w:szCs w:val="18"/>
        </w:rPr>
      </w:pPr>
    </w:p>
    <w:p w:rsidR="00651CD6" w:rsidRPr="008678E1" w:rsidRDefault="00651CD6" w:rsidP="00651CD6">
      <w:pPr>
        <w:pStyle w:val="Titre9"/>
        <w:spacing w:after="120"/>
        <w:rPr>
          <w:rtl/>
        </w:rPr>
      </w:pPr>
      <w:r w:rsidRPr="008678E1">
        <w:rPr>
          <w:lang w:val="en-US"/>
        </w:rPr>
        <w:t>Abstract</w:t>
      </w:r>
    </w:p>
    <w:p w:rsidR="008A7584" w:rsidRDefault="0082782C" w:rsidP="00921F85">
      <w:pPr>
        <w:pStyle w:val="Titre9"/>
        <w:bidi w:val="0"/>
        <w:spacing w:before="120" w:line="276" w:lineRule="auto"/>
        <w:ind w:firstLine="284"/>
        <w:jc w:val="both"/>
        <w:rPr>
          <w:rFonts w:eastAsiaTheme="minorHAnsi"/>
          <w:b w:val="0"/>
          <w:bCs w:val="0"/>
          <w:iCs w:val="0"/>
          <w:lang w:val="en-US" w:eastAsia="en-US"/>
        </w:rPr>
      </w:pPr>
      <w:r w:rsidRPr="00850DE0">
        <w:rPr>
          <w:rFonts w:eastAsiaTheme="minorHAnsi"/>
          <w:b w:val="0"/>
          <w:bCs w:val="0"/>
          <w:iCs w:val="0"/>
          <w:lang w:val="en-US" w:eastAsia="en-US"/>
        </w:rPr>
        <w:t xml:space="preserve">To ensure quality, various mechanisms, approaches, or programs can be deployed according to the </w:t>
      </w:r>
      <w:r w:rsidR="00467BCF" w:rsidRPr="00850DE0">
        <w:rPr>
          <w:rFonts w:eastAsiaTheme="minorHAnsi"/>
          <w:b w:val="0"/>
          <w:bCs w:val="0"/>
          <w:iCs w:val="0"/>
          <w:lang w:val="en-US" w:eastAsia="en-US"/>
        </w:rPr>
        <w:t xml:space="preserve">chosen </w:t>
      </w:r>
      <w:r w:rsidRPr="00850DE0">
        <w:rPr>
          <w:rFonts w:eastAsiaTheme="minorHAnsi"/>
          <w:b w:val="0"/>
          <w:bCs w:val="0"/>
          <w:iCs w:val="0"/>
          <w:lang w:val="en-US" w:eastAsia="en-US"/>
        </w:rPr>
        <w:t>field</w:t>
      </w:r>
      <w:r w:rsidR="008A7584" w:rsidRPr="00850DE0">
        <w:rPr>
          <w:rFonts w:eastAsiaTheme="minorHAnsi"/>
          <w:b w:val="0"/>
          <w:bCs w:val="0"/>
          <w:iCs w:val="0"/>
          <w:lang w:val="en-US" w:eastAsia="en-US"/>
        </w:rPr>
        <w:t>. In higher education</w:t>
      </w:r>
      <w:r w:rsidR="00467BCF" w:rsidRPr="00850DE0">
        <w:rPr>
          <w:rFonts w:eastAsiaTheme="minorHAnsi"/>
          <w:b w:val="0"/>
          <w:bCs w:val="0"/>
          <w:iCs w:val="0"/>
          <w:lang w:val="en-US" w:eastAsia="en-US"/>
        </w:rPr>
        <w:t xml:space="preserve"> sector</w:t>
      </w:r>
      <w:r w:rsidR="008A7584" w:rsidRPr="00850DE0">
        <w:rPr>
          <w:rFonts w:eastAsiaTheme="minorHAnsi"/>
          <w:b w:val="0"/>
          <w:bCs w:val="0"/>
          <w:iCs w:val="0"/>
          <w:lang w:val="en-US" w:eastAsia="en-US"/>
        </w:rPr>
        <w:t xml:space="preserve">, international mobility stands out as a </w:t>
      </w:r>
      <w:r w:rsidR="00467BCF" w:rsidRPr="00850DE0">
        <w:rPr>
          <w:rFonts w:eastAsiaTheme="minorHAnsi"/>
          <w:b w:val="0"/>
          <w:bCs w:val="0"/>
          <w:iCs w:val="0"/>
          <w:lang w:val="en-US" w:eastAsia="en-US"/>
        </w:rPr>
        <w:t>mechanism that potentiallyimpacts</w:t>
      </w:r>
      <w:r w:rsidR="008A7584" w:rsidRPr="00850DE0">
        <w:rPr>
          <w:rFonts w:eastAsiaTheme="minorHAnsi"/>
          <w:b w:val="0"/>
          <w:bCs w:val="0"/>
          <w:iCs w:val="0"/>
          <w:lang w:val="en-US" w:eastAsia="en-US"/>
        </w:rPr>
        <w:t xml:space="preserve"> quality. In this context, the Erasmus program is a</w:t>
      </w:r>
      <w:r w:rsidR="00CE126E" w:rsidRPr="00850DE0">
        <w:rPr>
          <w:rFonts w:eastAsiaTheme="minorHAnsi"/>
          <w:b w:val="0"/>
          <w:bCs w:val="0"/>
          <w:iCs w:val="0"/>
          <w:lang w:val="en-US" w:eastAsia="en-US"/>
        </w:rPr>
        <w:t>n excellent case</w:t>
      </w:r>
      <w:r w:rsidR="008A7584" w:rsidRPr="00850DE0">
        <w:rPr>
          <w:rFonts w:eastAsiaTheme="minorHAnsi"/>
          <w:b w:val="0"/>
          <w:bCs w:val="0"/>
          <w:iCs w:val="0"/>
          <w:lang w:val="en-US" w:eastAsia="en-US"/>
        </w:rPr>
        <w:t xml:space="preserve"> study </w:t>
      </w:r>
      <w:r w:rsidR="00CE126E" w:rsidRPr="00850DE0">
        <w:rPr>
          <w:rFonts w:eastAsiaTheme="minorHAnsi"/>
          <w:b w:val="0"/>
          <w:bCs w:val="0"/>
          <w:iCs w:val="0"/>
          <w:lang w:val="en-US" w:eastAsia="en-US"/>
        </w:rPr>
        <w:t xml:space="preserve">to </w:t>
      </w:r>
      <w:r w:rsidR="008A7584" w:rsidRPr="00850DE0">
        <w:rPr>
          <w:rFonts w:eastAsiaTheme="minorHAnsi"/>
          <w:b w:val="0"/>
          <w:bCs w:val="0"/>
          <w:iCs w:val="0"/>
          <w:lang w:val="en-US" w:eastAsia="en-US"/>
        </w:rPr>
        <w:t xml:space="preserve">illustrate how students' mobility impacts the quality of </w:t>
      </w:r>
      <w:r w:rsidR="00CE126E" w:rsidRPr="00850DE0">
        <w:rPr>
          <w:rFonts w:eastAsiaTheme="minorHAnsi"/>
          <w:b w:val="0"/>
          <w:bCs w:val="0"/>
          <w:iCs w:val="0"/>
          <w:lang w:val="en-US" w:eastAsia="en-US"/>
        </w:rPr>
        <w:t>higher education</w:t>
      </w:r>
      <w:r w:rsidR="008A7584" w:rsidRPr="00850DE0">
        <w:rPr>
          <w:rFonts w:eastAsiaTheme="minorHAnsi"/>
          <w:b w:val="0"/>
          <w:bCs w:val="0"/>
          <w:iCs w:val="0"/>
          <w:lang w:val="en-US" w:eastAsia="en-US"/>
        </w:rPr>
        <w:t xml:space="preserve">. </w:t>
      </w:r>
      <w:r w:rsidR="00105354" w:rsidRPr="00850DE0">
        <w:rPr>
          <w:rFonts w:eastAsiaTheme="minorHAnsi"/>
          <w:b w:val="0"/>
          <w:bCs w:val="0"/>
          <w:iCs w:val="0"/>
          <w:lang w:val="en-US" w:eastAsia="en-US"/>
        </w:rPr>
        <w:t>A</w:t>
      </w:r>
      <w:r w:rsidR="008A7584" w:rsidRPr="00850DE0">
        <w:rPr>
          <w:rFonts w:eastAsiaTheme="minorHAnsi"/>
          <w:b w:val="0"/>
          <w:bCs w:val="0"/>
          <w:iCs w:val="0"/>
          <w:lang w:val="en-US" w:eastAsia="en-US"/>
        </w:rPr>
        <w:t xml:space="preserve">t an individual level, mobility </w:t>
      </w:r>
      <w:r w:rsidR="00CE126E" w:rsidRPr="00850DE0">
        <w:rPr>
          <w:rFonts w:eastAsiaTheme="minorHAnsi"/>
          <w:b w:val="0"/>
          <w:bCs w:val="0"/>
          <w:iCs w:val="0"/>
          <w:lang w:val="en-US" w:eastAsia="en-US"/>
        </w:rPr>
        <w:t>allows</w:t>
      </w:r>
      <w:r w:rsidR="008A7584" w:rsidRPr="00850DE0">
        <w:rPr>
          <w:rFonts w:eastAsiaTheme="minorHAnsi"/>
          <w:b w:val="0"/>
          <w:bCs w:val="0"/>
          <w:iCs w:val="0"/>
          <w:lang w:val="en-US" w:eastAsia="en-US"/>
        </w:rPr>
        <w:t xml:space="preserve"> to strengthen the personal and professional </w:t>
      </w:r>
      <w:r w:rsidR="00F94AB0" w:rsidRPr="00850DE0">
        <w:rPr>
          <w:rFonts w:eastAsiaTheme="minorHAnsi"/>
          <w:b w:val="0"/>
          <w:bCs w:val="0"/>
          <w:iCs w:val="0"/>
          <w:lang w:val="en-US" w:eastAsia="en-US"/>
        </w:rPr>
        <w:t>path</w:t>
      </w:r>
      <w:r w:rsidR="008A7584" w:rsidRPr="00850DE0">
        <w:rPr>
          <w:rFonts w:eastAsiaTheme="minorHAnsi"/>
          <w:b w:val="0"/>
          <w:bCs w:val="0"/>
          <w:iCs w:val="0"/>
          <w:lang w:val="en-US" w:eastAsia="en-US"/>
        </w:rPr>
        <w:t xml:space="preserve"> of students, which directly impacts the relevance of their higher education. At the institutional level, mobility facilitates the harmonization of programs and encourages a continuous improvement of the </w:t>
      </w:r>
      <w:r w:rsidR="005709F7" w:rsidRPr="00850DE0">
        <w:rPr>
          <w:rFonts w:eastAsiaTheme="minorHAnsi"/>
          <w:b w:val="0"/>
          <w:bCs w:val="0"/>
          <w:iCs w:val="0"/>
          <w:lang w:val="en-US" w:eastAsia="en-US"/>
        </w:rPr>
        <w:t>learning path</w:t>
      </w:r>
      <w:r w:rsidR="001043D7" w:rsidRPr="00850DE0">
        <w:rPr>
          <w:rFonts w:eastAsiaTheme="minorHAnsi"/>
          <w:b w:val="0"/>
          <w:bCs w:val="0"/>
          <w:iCs w:val="0"/>
          <w:lang w:val="en-US" w:eastAsia="en-US"/>
        </w:rPr>
        <w:t>.</w:t>
      </w:r>
      <w:r w:rsidR="008A7584" w:rsidRPr="00850DE0">
        <w:rPr>
          <w:rFonts w:eastAsiaTheme="minorHAnsi"/>
          <w:b w:val="0"/>
          <w:bCs w:val="0"/>
          <w:iCs w:val="0"/>
          <w:lang w:val="en-US" w:eastAsia="en-US"/>
        </w:rPr>
        <w:t>Th</w:t>
      </w:r>
      <w:r w:rsidR="00105354" w:rsidRPr="00850DE0">
        <w:rPr>
          <w:rFonts w:eastAsiaTheme="minorHAnsi"/>
          <w:b w:val="0"/>
          <w:bCs w:val="0"/>
          <w:iCs w:val="0"/>
          <w:lang w:val="en-US" w:eastAsia="en-US"/>
        </w:rPr>
        <w:t>is</w:t>
      </w:r>
      <w:r w:rsidR="008A7584" w:rsidRPr="00850DE0">
        <w:rPr>
          <w:rFonts w:eastAsiaTheme="minorHAnsi"/>
          <w:b w:val="0"/>
          <w:bCs w:val="0"/>
          <w:iCs w:val="0"/>
          <w:lang w:val="en-US" w:eastAsia="en-US"/>
        </w:rPr>
        <w:t xml:space="preserve"> double impact of student mobility shows that it is a </w:t>
      </w:r>
      <w:r w:rsidR="005709F7" w:rsidRPr="00850DE0">
        <w:rPr>
          <w:rFonts w:eastAsiaTheme="minorHAnsi"/>
          <w:b w:val="0"/>
          <w:bCs w:val="0"/>
          <w:iCs w:val="0"/>
          <w:lang w:val="en-US" w:eastAsia="en-US"/>
        </w:rPr>
        <w:t>leverage for enriching and refining quality assurance procedures within higher education</w:t>
      </w:r>
      <w:r w:rsidR="005709F7">
        <w:rPr>
          <w:rFonts w:eastAsiaTheme="minorHAnsi"/>
          <w:b w:val="0"/>
          <w:bCs w:val="0"/>
          <w:iCs w:val="0"/>
          <w:lang w:val="en-US" w:eastAsia="en-US"/>
        </w:rPr>
        <w:t>.</w:t>
      </w:r>
    </w:p>
    <w:p w:rsidR="00651CD6" w:rsidRPr="00645210" w:rsidRDefault="00651CD6" w:rsidP="00921F85">
      <w:pPr>
        <w:pStyle w:val="Titre9"/>
        <w:bidi w:val="0"/>
        <w:spacing w:before="120" w:after="120" w:line="276" w:lineRule="auto"/>
        <w:jc w:val="left"/>
        <w:rPr>
          <w:rtl/>
          <w:lang w:val="en-US"/>
        </w:rPr>
        <w:sectPr w:rsidR="00651CD6" w:rsidRPr="00645210" w:rsidSect="002469E7">
          <w:footerReference w:type="default" r:id="rId10"/>
          <w:footerReference w:type="first" r:id="rId11"/>
          <w:pgSz w:w="11906" w:h="16838"/>
          <w:pgMar w:top="1440" w:right="1440" w:bottom="1440" w:left="1440" w:header="720" w:footer="288" w:gutter="0"/>
          <w:pgNumType w:start="1"/>
          <w:cols w:space="720"/>
          <w:bidi/>
          <w:rtlGutter/>
          <w:docGrid w:linePitch="360"/>
        </w:sectPr>
      </w:pPr>
      <w:r w:rsidRPr="00037640">
        <w:rPr>
          <w:lang w:val="en-US"/>
        </w:rPr>
        <w:t>Keywords:</w:t>
      </w:r>
      <w:r w:rsidR="00037640" w:rsidRPr="00037640">
        <w:rPr>
          <w:b w:val="0"/>
          <w:bCs w:val="0"/>
          <w:lang w:val="en-US"/>
        </w:rPr>
        <w:t>Higher education; Quality insurance; Erasmus; Students’ mobility</w:t>
      </w:r>
      <w:r w:rsidRPr="00037640">
        <w:rPr>
          <w:b w:val="0"/>
          <w:bCs w:val="0"/>
          <w:lang w:val="en-US"/>
        </w:rPr>
        <w:t>.</w:t>
      </w:r>
    </w:p>
    <w:p w:rsidR="00193DA1" w:rsidRPr="00193DA1" w:rsidRDefault="00193DA1" w:rsidP="00E36EFB">
      <w:pPr>
        <w:pStyle w:val="Paragraphedeliste"/>
        <w:numPr>
          <w:ilvl w:val="0"/>
          <w:numId w:val="1"/>
        </w:numPr>
        <w:spacing w:line="276" w:lineRule="auto"/>
        <w:ind w:left="426"/>
        <w:jc w:val="both"/>
        <w:rPr>
          <w:rFonts w:asciiTheme="majorBidi" w:hAnsiTheme="majorBidi" w:cstheme="majorBidi"/>
          <w:b/>
          <w:bCs/>
          <w:sz w:val="24"/>
          <w:szCs w:val="24"/>
        </w:rPr>
      </w:pPr>
      <w:r w:rsidRPr="00193DA1">
        <w:rPr>
          <w:rFonts w:asciiTheme="majorBidi" w:hAnsiTheme="majorBidi" w:cstheme="majorBidi"/>
          <w:b/>
          <w:bCs/>
          <w:sz w:val="24"/>
          <w:szCs w:val="24"/>
        </w:rPr>
        <w:lastRenderedPageBreak/>
        <w:t>Introduction</w:t>
      </w:r>
    </w:p>
    <w:p w:rsidR="003F331F" w:rsidRPr="004B1DA4" w:rsidRDefault="00C52BCE" w:rsidP="00786D31">
      <w:pPr>
        <w:spacing w:line="276" w:lineRule="auto"/>
        <w:ind w:firstLine="284"/>
        <w:jc w:val="both"/>
        <w:rPr>
          <w:rFonts w:asciiTheme="majorBidi" w:hAnsiTheme="majorBidi" w:cstheme="majorBidi"/>
          <w:sz w:val="24"/>
          <w:szCs w:val="24"/>
        </w:rPr>
      </w:pPr>
      <w:r w:rsidRPr="00C52BCE">
        <w:rPr>
          <w:rFonts w:asciiTheme="majorBidi" w:hAnsiTheme="majorBidi" w:cstheme="majorBidi"/>
          <w:sz w:val="24"/>
          <w:szCs w:val="24"/>
        </w:rPr>
        <w:t xml:space="preserve">Au cours des dernières décennies, l'enseignement supérieur </w:t>
      </w:r>
      <w:r>
        <w:rPr>
          <w:rFonts w:asciiTheme="majorBidi" w:hAnsiTheme="majorBidi" w:cstheme="majorBidi"/>
          <w:sz w:val="24"/>
          <w:szCs w:val="24"/>
        </w:rPr>
        <w:t>a connu une</w:t>
      </w:r>
      <w:r w:rsidRPr="00C52BCE">
        <w:rPr>
          <w:rFonts w:asciiTheme="majorBidi" w:hAnsiTheme="majorBidi" w:cstheme="majorBidi"/>
          <w:sz w:val="24"/>
          <w:szCs w:val="24"/>
        </w:rPr>
        <w:t xml:space="preserve"> transfor</w:t>
      </w:r>
      <w:r>
        <w:rPr>
          <w:rFonts w:asciiTheme="majorBidi" w:hAnsiTheme="majorBidi" w:cstheme="majorBidi"/>
          <w:sz w:val="24"/>
          <w:szCs w:val="24"/>
        </w:rPr>
        <w:t xml:space="preserve">mation </w:t>
      </w:r>
      <w:r w:rsidRPr="00C03BC4">
        <w:rPr>
          <w:rFonts w:asciiTheme="majorBidi" w:hAnsiTheme="majorBidi" w:cstheme="majorBidi"/>
          <w:sz w:val="24"/>
          <w:szCs w:val="24"/>
        </w:rPr>
        <w:t>radicale. Autrefois réservé à une certaine population dite d’élite et ancré dans des traditions et valeurs nationales, il est devenu de plus en plus ouvert à la masse et plus globalisé (Altbach, 2004). Cette démocratisation accompagnée d’une internationalisation a engendré de nouveaux défis, notamment en matière de la qualité des formations proposées. Les parties prenantes qui soient étudiants</w:t>
      </w:r>
      <w:r w:rsidR="00786D31">
        <w:rPr>
          <w:rFonts w:asciiTheme="majorBidi" w:hAnsiTheme="majorBidi" w:cstheme="majorBidi"/>
          <w:sz w:val="24"/>
          <w:szCs w:val="24"/>
        </w:rPr>
        <w:t>,</w:t>
      </w:r>
      <w:r w:rsidRPr="00C03BC4">
        <w:rPr>
          <w:rFonts w:asciiTheme="majorBidi" w:hAnsiTheme="majorBidi" w:cstheme="majorBidi"/>
          <w:sz w:val="24"/>
          <w:szCs w:val="24"/>
        </w:rPr>
        <w:t xml:space="preserve"> leurs parents, employeurs et gouvernements exigent une sorte de garantie que les diplômes délivrés représentent bel et bien un niveau de savoirs et compétences adéquat et reconnu. Ainsi, l'assurance qualité</w:t>
      </w:r>
      <w:r w:rsidRPr="00C52BCE">
        <w:rPr>
          <w:rFonts w:asciiTheme="majorBidi" w:hAnsiTheme="majorBidi" w:cstheme="majorBidi"/>
          <w:sz w:val="24"/>
          <w:szCs w:val="24"/>
        </w:rPr>
        <w:t xml:space="preserve"> est devenue un enjeu central pour les universités qui </w:t>
      </w:r>
      <w:r w:rsidRPr="004B1DA4">
        <w:rPr>
          <w:rFonts w:asciiTheme="majorBidi" w:hAnsiTheme="majorBidi" w:cstheme="majorBidi"/>
          <w:sz w:val="24"/>
          <w:szCs w:val="24"/>
        </w:rPr>
        <w:t>cherchent à légitimer leur rôle et à conserver leur compétitivité sur la scène mondiale (Harvey &amp; Green, 1993).</w:t>
      </w:r>
    </w:p>
    <w:p w:rsidR="00F83DBC" w:rsidRPr="004B1DA4" w:rsidRDefault="002622F1" w:rsidP="0028021A">
      <w:pPr>
        <w:spacing w:line="276" w:lineRule="auto"/>
        <w:ind w:firstLine="284"/>
        <w:jc w:val="both"/>
        <w:rPr>
          <w:rFonts w:asciiTheme="majorBidi" w:hAnsiTheme="majorBidi" w:cstheme="majorBidi"/>
          <w:sz w:val="24"/>
          <w:szCs w:val="24"/>
        </w:rPr>
      </w:pPr>
      <w:r w:rsidRPr="004B1DA4">
        <w:rPr>
          <w:rFonts w:asciiTheme="majorBidi" w:hAnsiTheme="majorBidi" w:cstheme="majorBidi"/>
          <w:sz w:val="24"/>
          <w:szCs w:val="24"/>
        </w:rPr>
        <w:t>Traditionnellement, les mécanismes d'assurance qualité sont concentrés sur les processus internes et externes, tels que : des évaluations par les pairs, des accréditations institutionnelles et des cadres de référence nationaux. Cette approche, bien que fondamentale, elle est dans certain</w:t>
      </w:r>
      <w:r w:rsidR="00786D31">
        <w:rPr>
          <w:rFonts w:asciiTheme="majorBidi" w:hAnsiTheme="majorBidi" w:cstheme="majorBidi"/>
          <w:sz w:val="24"/>
          <w:szCs w:val="24"/>
        </w:rPr>
        <w:t>s</w:t>
      </w:r>
      <w:r w:rsidRPr="004B1DA4">
        <w:rPr>
          <w:rFonts w:asciiTheme="majorBidi" w:hAnsiTheme="majorBidi" w:cstheme="majorBidi"/>
          <w:sz w:val="24"/>
          <w:szCs w:val="24"/>
        </w:rPr>
        <w:t xml:space="preserve"> cas perçu comme rigide et insuffisamment adaptée à la rapidité et fluidité des évolutions du monde contemporain. En effet, cette approche mesure souvent la qualité a posteriori, en se basant sur des indicateurs de performance, sans forcément capturer la dynamique de l'apprentissage ou la plus-value de l'expérience éducative.</w:t>
      </w:r>
    </w:p>
    <w:p w:rsidR="00F83DBC" w:rsidRDefault="00F83DBC" w:rsidP="00315351">
      <w:pPr>
        <w:spacing w:line="276" w:lineRule="auto"/>
        <w:ind w:firstLine="284"/>
        <w:jc w:val="both"/>
        <w:rPr>
          <w:rFonts w:asciiTheme="majorBidi" w:hAnsiTheme="majorBidi" w:cstheme="majorBidi"/>
          <w:sz w:val="24"/>
          <w:szCs w:val="24"/>
        </w:rPr>
      </w:pPr>
      <w:r w:rsidRPr="004B1DA4">
        <w:rPr>
          <w:rFonts w:asciiTheme="majorBidi" w:hAnsiTheme="majorBidi" w:cstheme="majorBidi"/>
          <w:sz w:val="24"/>
          <w:szCs w:val="24"/>
        </w:rPr>
        <w:t xml:space="preserve">Afin de faire face à ces défis, de nouvelles approches cherchant à intégrer la qualité au cœur de l'expérience </w:t>
      </w:r>
      <w:r w:rsidR="00315351">
        <w:rPr>
          <w:rFonts w:asciiTheme="majorBidi" w:hAnsiTheme="majorBidi" w:cstheme="majorBidi"/>
          <w:sz w:val="24"/>
          <w:szCs w:val="24"/>
        </w:rPr>
        <w:t xml:space="preserve">des étudiants </w:t>
      </w:r>
      <w:r w:rsidRPr="004B1DA4">
        <w:rPr>
          <w:rFonts w:asciiTheme="majorBidi" w:hAnsiTheme="majorBidi" w:cstheme="majorBidi"/>
          <w:sz w:val="24"/>
          <w:szCs w:val="24"/>
        </w:rPr>
        <w:t xml:space="preserve">ont émergé où la mobilité </w:t>
      </w:r>
      <w:r w:rsidR="00315351">
        <w:rPr>
          <w:rFonts w:asciiTheme="majorBidi" w:hAnsiTheme="majorBidi" w:cstheme="majorBidi"/>
          <w:sz w:val="24"/>
          <w:szCs w:val="24"/>
        </w:rPr>
        <w:t>d’études</w:t>
      </w:r>
      <w:r w:rsidRPr="004B1DA4">
        <w:rPr>
          <w:rFonts w:asciiTheme="majorBidi" w:hAnsiTheme="majorBidi" w:cstheme="majorBidi"/>
          <w:sz w:val="24"/>
          <w:szCs w:val="24"/>
        </w:rPr>
        <w:t xml:space="preserve"> s'inscrit pleinement dans cette perspective. Hormis d'être un simple ajout au cursus, elle</w:t>
      </w:r>
      <w:r w:rsidR="004F016A">
        <w:rPr>
          <w:rFonts w:asciiTheme="majorBidi" w:hAnsiTheme="majorBidi" w:cstheme="majorBidi"/>
          <w:sz w:val="24"/>
          <w:szCs w:val="24"/>
        </w:rPr>
        <w:t>s</w:t>
      </w:r>
      <w:r w:rsidRPr="004B1DA4">
        <w:rPr>
          <w:rFonts w:asciiTheme="majorBidi" w:hAnsiTheme="majorBidi" w:cstheme="majorBidi"/>
          <w:sz w:val="24"/>
          <w:szCs w:val="24"/>
        </w:rPr>
        <w:t xml:space="preserve"> vise</w:t>
      </w:r>
      <w:r w:rsidR="004F016A">
        <w:rPr>
          <w:rFonts w:asciiTheme="majorBidi" w:hAnsiTheme="majorBidi" w:cstheme="majorBidi"/>
          <w:sz w:val="24"/>
          <w:szCs w:val="24"/>
        </w:rPr>
        <w:t>nt</w:t>
      </w:r>
      <w:r w:rsidR="00D63F0E" w:rsidRPr="004B1DA4">
        <w:rPr>
          <w:rFonts w:asciiTheme="majorBidi" w:hAnsiTheme="majorBidi" w:cstheme="majorBidi"/>
          <w:sz w:val="24"/>
          <w:szCs w:val="24"/>
        </w:rPr>
        <w:t>à</w:t>
      </w:r>
      <w:r w:rsidRPr="004B1DA4">
        <w:rPr>
          <w:rFonts w:asciiTheme="majorBidi" w:hAnsiTheme="majorBidi" w:cstheme="majorBidi"/>
          <w:sz w:val="24"/>
          <w:szCs w:val="24"/>
        </w:rPr>
        <w:t xml:space="preserve"> exposer les étudiants à de nouveaux environnements académiques, sociaux et </w:t>
      </w:r>
      <w:r w:rsidR="00B7755E" w:rsidRPr="004B1DA4">
        <w:rPr>
          <w:rFonts w:asciiTheme="majorBidi" w:hAnsiTheme="majorBidi" w:cstheme="majorBidi"/>
          <w:sz w:val="24"/>
          <w:szCs w:val="24"/>
        </w:rPr>
        <w:t>culturels,</w:t>
      </w:r>
      <w:r w:rsidR="004F016A">
        <w:rPr>
          <w:rFonts w:asciiTheme="majorBidi" w:hAnsiTheme="majorBidi" w:cstheme="majorBidi"/>
          <w:sz w:val="24"/>
          <w:szCs w:val="24"/>
        </w:rPr>
        <w:t xml:space="preserve"> et </w:t>
      </w:r>
      <w:r w:rsidRPr="004B1DA4">
        <w:rPr>
          <w:rFonts w:asciiTheme="majorBidi" w:hAnsiTheme="majorBidi" w:cstheme="majorBidi"/>
          <w:sz w:val="24"/>
          <w:szCs w:val="24"/>
        </w:rPr>
        <w:t>stimule l'acquisition de compétences interculturelles, d’autonomie et d'adaptabilité (King &amp; Ruiz-Gelices, 2003).</w:t>
      </w:r>
    </w:p>
    <w:p w:rsidR="00F83DBC" w:rsidRDefault="00284BE4" w:rsidP="00B7755E">
      <w:pPr>
        <w:pStyle w:val="NormalWeb"/>
        <w:spacing w:line="276" w:lineRule="auto"/>
        <w:ind w:firstLine="284"/>
        <w:jc w:val="both"/>
        <w:rPr>
          <w:b/>
          <w:bCs/>
        </w:rPr>
      </w:pPr>
      <w:r>
        <w:rPr>
          <w:rFonts w:asciiTheme="majorBidi" w:hAnsiTheme="majorBidi" w:cstheme="majorBidi"/>
        </w:rPr>
        <w:t>Cette vision plus élargie de la mobilité qui dépasse le simp</w:t>
      </w:r>
      <w:r w:rsidRPr="00F66BD9">
        <w:rPr>
          <w:rFonts w:asciiTheme="majorBidi" w:hAnsiTheme="majorBidi" w:cstheme="majorBidi"/>
        </w:rPr>
        <w:t>l</w:t>
      </w:r>
      <w:r>
        <w:rPr>
          <w:rFonts w:asciiTheme="majorBidi" w:hAnsiTheme="majorBidi" w:cstheme="majorBidi"/>
        </w:rPr>
        <w:t xml:space="preserve">e </w:t>
      </w:r>
      <w:r w:rsidRPr="00F66BD9">
        <w:rPr>
          <w:rFonts w:asciiTheme="majorBidi" w:hAnsiTheme="majorBidi" w:cstheme="majorBidi"/>
        </w:rPr>
        <w:t>enrichissement personnel pour les étudiants, nous incit</w:t>
      </w:r>
      <w:r w:rsidR="00B7755E">
        <w:rPr>
          <w:rFonts w:asciiTheme="majorBidi" w:hAnsiTheme="majorBidi" w:cstheme="majorBidi"/>
        </w:rPr>
        <w:t>e</w:t>
      </w:r>
      <w:r w:rsidRPr="00F66BD9">
        <w:rPr>
          <w:rFonts w:asciiTheme="majorBidi" w:hAnsiTheme="majorBidi" w:cstheme="majorBidi"/>
        </w:rPr>
        <w:t xml:space="preserve"> à discuter du rôle qu’elle peut avoir dans le processus d'assurance qualité </w:t>
      </w:r>
      <w:r w:rsidRPr="00941AB7">
        <w:rPr>
          <w:rFonts w:asciiTheme="majorBidi" w:hAnsiTheme="majorBidi" w:cstheme="majorBidi"/>
        </w:rPr>
        <w:t>des institutions elles-mêmes</w:t>
      </w:r>
      <w:r w:rsidR="00B7755E">
        <w:rPr>
          <w:rFonts w:asciiTheme="majorBidi" w:hAnsiTheme="majorBidi" w:cstheme="majorBidi"/>
        </w:rPr>
        <w:t>,</w:t>
      </w:r>
      <w:r w:rsidRPr="00941AB7">
        <w:rPr>
          <w:rFonts w:asciiTheme="majorBidi" w:hAnsiTheme="majorBidi" w:cstheme="majorBidi"/>
        </w:rPr>
        <w:t xml:space="preserve"> et nous invite </w:t>
      </w:r>
      <w:r w:rsidR="00B7755E">
        <w:rPr>
          <w:rFonts w:asciiTheme="majorBidi" w:hAnsiTheme="majorBidi" w:cstheme="majorBidi"/>
        </w:rPr>
        <w:t xml:space="preserve">aussi, </w:t>
      </w:r>
      <w:r w:rsidRPr="00941AB7">
        <w:rPr>
          <w:rFonts w:asciiTheme="majorBidi" w:hAnsiTheme="majorBidi" w:cstheme="majorBidi"/>
        </w:rPr>
        <w:t xml:space="preserve">à </w:t>
      </w:r>
      <w:r w:rsidR="00941AB7" w:rsidRPr="00941AB7">
        <w:rPr>
          <w:rFonts w:asciiTheme="majorBidi" w:hAnsiTheme="majorBidi" w:cstheme="majorBidi"/>
        </w:rPr>
        <w:t>questionner l</w:t>
      </w:r>
      <w:r w:rsidR="00623B74">
        <w:rPr>
          <w:rFonts w:asciiTheme="majorBidi" w:hAnsiTheme="majorBidi" w:cstheme="majorBidi"/>
        </w:rPr>
        <w:t xml:space="preserve">a contribution de la mobilité des </w:t>
      </w:r>
      <w:r w:rsidR="00941AB7" w:rsidRPr="00941AB7">
        <w:rPr>
          <w:rFonts w:asciiTheme="majorBidi" w:hAnsiTheme="majorBidi" w:cstheme="majorBidi"/>
        </w:rPr>
        <w:t xml:space="preserve">étudiants dans </w:t>
      </w:r>
      <w:r w:rsidRPr="00941AB7">
        <w:t>l’assurance de la quali</w:t>
      </w:r>
      <w:r w:rsidR="00941AB7" w:rsidRPr="00941AB7">
        <w:t>té de l’enseignement supérieur.</w:t>
      </w:r>
    </w:p>
    <w:p w:rsidR="009B422A" w:rsidRPr="00941AB7" w:rsidRDefault="009B422A" w:rsidP="00B7755E">
      <w:pPr>
        <w:pStyle w:val="NormalWeb"/>
        <w:spacing w:line="276" w:lineRule="auto"/>
        <w:ind w:firstLine="284"/>
        <w:jc w:val="both"/>
      </w:pPr>
      <w:r w:rsidRPr="00941AB7">
        <w:t xml:space="preserve">Afin </w:t>
      </w:r>
      <w:r w:rsidR="00941AB7" w:rsidRPr="00941AB7">
        <w:t>d’apporter une réponse à notre questionnement notre travail est organisé comme suit : Dans un premier temps, nous allons présenter quelques fondements théoriques sur l’assurance qualité au sein de l’enseignement s</w:t>
      </w:r>
      <w:r w:rsidR="00B7755E">
        <w:t>upérieur. P</w:t>
      </w:r>
      <w:r w:rsidR="00941AB7" w:rsidRPr="00941AB7">
        <w:t>ar la suite</w:t>
      </w:r>
      <w:r w:rsidR="00B7755E">
        <w:t>,</w:t>
      </w:r>
      <w:r w:rsidR="00941AB7" w:rsidRPr="00941AB7">
        <w:t xml:space="preserve"> nous allons nous focaliser sur le programme Erasmus avec une réflexion sur les données clés de la période choisi. A la fin</w:t>
      </w:r>
      <w:r w:rsidR="00B7755E">
        <w:t>,</w:t>
      </w:r>
      <w:r w:rsidR="00941AB7" w:rsidRPr="00941AB7">
        <w:t xml:space="preserve"> nous allons apporter nos conclusions sur le sujet d’étude.</w:t>
      </w:r>
    </w:p>
    <w:p w:rsidR="00E36EFB" w:rsidRPr="00E36EFB" w:rsidRDefault="00E36EFB" w:rsidP="00E36EFB">
      <w:pPr>
        <w:pStyle w:val="Paragraphedeliste"/>
        <w:numPr>
          <w:ilvl w:val="0"/>
          <w:numId w:val="1"/>
        </w:numPr>
        <w:spacing w:line="276" w:lineRule="auto"/>
        <w:ind w:left="426"/>
        <w:jc w:val="both"/>
        <w:rPr>
          <w:rFonts w:asciiTheme="majorBidi" w:hAnsiTheme="majorBidi" w:cstheme="majorBidi"/>
          <w:b/>
          <w:bCs/>
          <w:sz w:val="24"/>
          <w:szCs w:val="24"/>
        </w:rPr>
      </w:pPr>
      <w:r w:rsidRPr="00E36EFB">
        <w:rPr>
          <w:rFonts w:asciiTheme="majorBidi" w:hAnsiTheme="majorBidi" w:cstheme="majorBidi"/>
          <w:b/>
          <w:bCs/>
        </w:rPr>
        <w:t>Fondements théoriques sur l’assurance qualité</w:t>
      </w:r>
    </w:p>
    <w:p w:rsidR="00E36EFB" w:rsidRDefault="00E36EFB" w:rsidP="00E36EFB">
      <w:pPr>
        <w:pStyle w:val="Paragraphedeliste"/>
        <w:spacing w:line="276" w:lineRule="auto"/>
        <w:ind w:left="426"/>
        <w:jc w:val="both"/>
        <w:rPr>
          <w:rFonts w:asciiTheme="majorBidi" w:hAnsiTheme="majorBidi" w:cstheme="majorBidi"/>
          <w:b/>
          <w:bCs/>
        </w:rPr>
      </w:pPr>
    </w:p>
    <w:p w:rsidR="00E36EFB" w:rsidRDefault="00E36EFB" w:rsidP="00E36EFB">
      <w:pPr>
        <w:pStyle w:val="Paragraphedeliste"/>
        <w:numPr>
          <w:ilvl w:val="1"/>
          <w:numId w:val="1"/>
        </w:numPr>
        <w:spacing w:line="276" w:lineRule="auto"/>
        <w:ind w:left="426"/>
        <w:jc w:val="both"/>
        <w:rPr>
          <w:rFonts w:asciiTheme="majorBidi" w:hAnsiTheme="majorBidi" w:cstheme="majorBidi"/>
          <w:sz w:val="24"/>
          <w:szCs w:val="24"/>
        </w:rPr>
      </w:pPr>
      <w:r w:rsidRPr="00E36EFB">
        <w:rPr>
          <w:rFonts w:asciiTheme="majorBidi" w:hAnsiTheme="majorBidi" w:cstheme="majorBidi"/>
        </w:rPr>
        <w:t>La</w:t>
      </w:r>
      <w:r w:rsidRPr="00E36EFB">
        <w:rPr>
          <w:rFonts w:asciiTheme="majorBidi" w:hAnsiTheme="majorBidi" w:cstheme="majorBidi"/>
          <w:sz w:val="24"/>
          <w:szCs w:val="24"/>
        </w:rPr>
        <w:t xml:space="preserve"> qualité de l'enseignement supérieur</w:t>
      </w:r>
    </w:p>
    <w:p w:rsidR="00E36EFB" w:rsidRDefault="00E36EFB" w:rsidP="006C1D54">
      <w:pPr>
        <w:spacing w:line="276" w:lineRule="auto"/>
        <w:ind w:firstLine="284"/>
        <w:jc w:val="both"/>
        <w:rPr>
          <w:rFonts w:asciiTheme="majorBidi" w:hAnsiTheme="majorBidi" w:cstheme="majorBidi"/>
          <w:sz w:val="24"/>
          <w:szCs w:val="24"/>
        </w:rPr>
      </w:pPr>
      <w:r w:rsidRPr="00E36EFB">
        <w:rPr>
          <w:rFonts w:asciiTheme="majorBidi" w:hAnsiTheme="majorBidi" w:cstheme="majorBidi"/>
          <w:sz w:val="24"/>
          <w:szCs w:val="24"/>
        </w:rPr>
        <w:t xml:space="preserve">La notion de "qualité" dans l'enseignement supérieur est loin d'être un concept univoque. </w:t>
      </w:r>
      <w:r>
        <w:rPr>
          <w:rFonts w:asciiTheme="majorBidi" w:hAnsiTheme="majorBidi" w:cstheme="majorBidi"/>
          <w:sz w:val="24"/>
          <w:szCs w:val="24"/>
        </w:rPr>
        <w:t>Au contraire, e</w:t>
      </w:r>
      <w:r w:rsidRPr="00E36EFB">
        <w:rPr>
          <w:rFonts w:asciiTheme="majorBidi" w:hAnsiTheme="majorBidi" w:cstheme="majorBidi"/>
          <w:sz w:val="24"/>
          <w:szCs w:val="24"/>
        </w:rPr>
        <w:t>lle est un construit complexe</w:t>
      </w:r>
      <w:r>
        <w:rPr>
          <w:rFonts w:asciiTheme="majorBidi" w:hAnsiTheme="majorBidi" w:cstheme="majorBidi"/>
          <w:sz w:val="24"/>
          <w:szCs w:val="24"/>
        </w:rPr>
        <w:t>, multidimensionnel et un</w:t>
      </w:r>
      <w:r w:rsidRPr="00E36EFB">
        <w:rPr>
          <w:rFonts w:asciiTheme="majorBidi" w:hAnsiTheme="majorBidi" w:cstheme="majorBidi"/>
          <w:sz w:val="24"/>
          <w:szCs w:val="24"/>
        </w:rPr>
        <w:t xml:space="preserve"> sujet à d'intenses débats </w:t>
      </w:r>
      <w:r w:rsidRPr="00E36EFB">
        <w:rPr>
          <w:rFonts w:asciiTheme="majorBidi" w:hAnsiTheme="majorBidi" w:cstheme="majorBidi"/>
          <w:sz w:val="24"/>
          <w:szCs w:val="24"/>
        </w:rPr>
        <w:lastRenderedPageBreak/>
        <w:t xml:space="preserve">académiques. L'approche la plus influente pour comprendre cette complexité est celle de </w:t>
      </w:r>
      <w:r w:rsidR="006C1D54" w:rsidRPr="00B34C40">
        <w:rPr>
          <w:rFonts w:asciiTheme="majorBidi" w:hAnsiTheme="majorBidi" w:cstheme="majorBidi"/>
          <w:sz w:val="24"/>
          <w:szCs w:val="24"/>
        </w:rPr>
        <w:t>(</w:t>
      </w:r>
      <w:r w:rsidRPr="00B34C40">
        <w:rPr>
          <w:rFonts w:asciiTheme="majorBidi" w:hAnsiTheme="majorBidi" w:cstheme="majorBidi"/>
          <w:sz w:val="24"/>
          <w:szCs w:val="24"/>
        </w:rPr>
        <w:t xml:space="preserve">Harvey </w:t>
      </w:r>
      <w:r w:rsidR="006C1D54" w:rsidRPr="00B34C40">
        <w:rPr>
          <w:rFonts w:asciiTheme="majorBidi" w:hAnsiTheme="majorBidi" w:cstheme="majorBidi"/>
          <w:sz w:val="24"/>
          <w:szCs w:val="24"/>
        </w:rPr>
        <w:t xml:space="preserve">&amp; Green, </w:t>
      </w:r>
      <w:r w:rsidRPr="00B34C40">
        <w:rPr>
          <w:rFonts w:asciiTheme="majorBidi" w:hAnsiTheme="majorBidi" w:cstheme="majorBidi"/>
          <w:sz w:val="24"/>
          <w:szCs w:val="24"/>
        </w:rPr>
        <w:t>1993), qui identifient</w:t>
      </w:r>
      <w:r w:rsidRPr="00E36EFB">
        <w:rPr>
          <w:rFonts w:asciiTheme="majorBidi" w:hAnsiTheme="majorBidi" w:cstheme="majorBidi"/>
          <w:sz w:val="24"/>
          <w:szCs w:val="24"/>
        </w:rPr>
        <w:t xml:space="preserve"> cinq conceptions de la qualité, souvent concurrentes :</w:t>
      </w:r>
    </w:p>
    <w:p w:rsidR="00906FD7" w:rsidRDefault="00906FD7" w:rsidP="00D73C87">
      <w:pPr>
        <w:pStyle w:val="Paragraphedeliste"/>
        <w:numPr>
          <w:ilvl w:val="0"/>
          <w:numId w:val="2"/>
        </w:numPr>
        <w:spacing w:line="276" w:lineRule="auto"/>
        <w:ind w:left="142" w:firstLine="142"/>
        <w:jc w:val="both"/>
        <w:rPr>
          <w:rFonts w:asciiTheme="majorBidi" w:hAnsiTheme="majorBidi" w:cstheme="majorBidi"/>
          <w:sz w:val="24"/>
          <w:szCs w:val="24"/>
        </w:rPr>
      </w:pPr>
      <w:r w:rsidRPr="00906FD7">
        <w:rPr>
          <w:rFonts w:asciiTheme="majorBidi" w:hAnsiTheme="majorBidi" w:cstheme="majorBidi"/>
          <w:sz w:val="24"/>
          <w:szCs w:val="24"/>
        </w:rPr>
        <w:t xml:space="preserve">La qualité comme exception : </w:t>
      </w:r>
      <w:r w:rsidR="00941116">
        <w:rPr>
          <w:rFonts w:asciiTheme="majorBidi" w:hAnsiTheme="majorBidi" w:cstheme="majorBidi"/>
          <w:sz w:val="24"/>
          <w:szCs w:val="24"/>
        </w:rPr>
        <w:t xml:space="preserve">Ici, la qualité est perçue comme </w:t>
      </w:r>
      <w:r w:rsidRPr="00906FD7">
        <w:rPr>
          <w:rFonts w:asciiTheme="majorBidi" w:hAnsiTheme="majorBidi" w:cstheme="majorBidi"/>
          <w:sz w:val="24"/>
          <w:szCs w:val="24"/>
        </w:rPr>
        <w:t>une marque d'excellence, réservée à une élite</w:t>
      </w:r>
      <w:r w:rsidR="00941116">
        <w:rPr>
          <w:rFonts w:asciiTheme="majorBidi" w:hAnsiTheme="majorBidi" w:cstheme="majorBidi"/>
          <w:sz w:val="24"/>
          <w:szCs w:val="24"/>
        </w:rPr>
        <w:t xml:space="preserve"> de programmes ou </w:t>
      </w:r>
      <w:r w:rsidRPr="00906FD7">
        <w:rPr>
          <w:rFonts w:asciiTheme="majorBidi" w:hAnsiTheme="majorBidi" w:cstheme="majorBidi"/>
          <w:sz w:val="24"/>
          <w:szCs w:val="24"/>
        </w:rPr>
        <w:t xml:space="preserve">d'institutions. Elle repose sur des critères </w:t>
      </w:r>
      <w:r w:rsidR="00941116">
        <w:rPr>
          <w:rFonts w:asciiTheme="majorBidi" w:hAnsiTheme="majorBidi" w:cstheme="majorBidi"/>
          <w:sz w:val="24"/>
          <w:szCs w:val="24"/>
        </w:rPr>
        <w:t xml:space="preserve">dites </w:t>
      </w:r>
      <w:r w:rsidRPr="00906FD7">
        <w:rPr>
          <w:rFonts w:asciiTheme="majorBidi" w:hAnsiTheme="majorBidi" w:cstheme="majorBidi"/>
          <w:sz w:val="24"/>
          <w:szCs w:val="24"/>
        </w:rPr>
        <w:t>d'intrants (</w:t>
      </w:r>
      <w:r w:rsidRPr="00941116">
        <w:rPr>
          <w:rFonts w:asciiTheme="majorBidi" w:hAnsiTheme="majorBidi" w:cstheme="majorBidi"/>
          <w:i/>
          <w:iCs/>
          <w:sz w:val="24"/>
          <w:szCs w:val="24"/>
        </w:rPr>
        <w:t>inputs</w:t>
      </w:r>
      <w:r w:rsidRPr="00906FD7">
        <w:rPr>
          <w:rFonts w:asciiTheme="majorBidi" w:hAnsiTheme="majorBidi" w:cstheme="majorBidi"/>
          <w:sz w:val="24"/>
          <w:szCs w:val="24"/>
        </w:rPr>
        <w:t xml:space="preserve">) tels que la sélectivité à l'admission ou la réputation du corps professoral, </w:t>
      </w:r>
      <w:r w:rsidR="0079676A">
        <w:rPr>
          <w:rFonts w:asciiTheme="majorBidi" w:hAnsiTheme="majorBidi" w:cstheme="majorBidi"/>
          <w:sz w:val="24"/>
          <w:szCs w:val="24"/>
        </w:rPr>
        <w:t xml:space="preserve">et </w:t>
      </w:r>
      <w:r w:rsidRPr="00906FD7">
        <w:rPr>
          <w:rFonts w:asciiTheme="majorBidi" w:hAnsiTheme="majorBidi" w:cstheme="majorBidi"/>
          <w:sz w:val="24"/>
          <w:szCs w:val="24"/>
        </w:rPr>
        <w:t>souvent mesurés par des classements internationaux.</w:t>
      </w:r>
    </w:p>
    <w:p w:rsidR="00906FD7" w:rsidRPr="00906FD7" w:rsidRDefault="00906FD7" w:rsidP="00906FD7">
      <w:pPr>
        <w:pStyle w:val="Paragraphedeliste"/>
        <w:spacing w:after="0" w:line="276" w:lineRule="auto"/>
        <w:ind w:left="567"/>
        <w:jc w:val="both"/>
        <w:rPr>
          <w:rFonts w:asciiTheme="majorBidi" w:hAnsiTheme="majorBidi" w:cstheme="majorBidi"/>
          <w:sz w:val="24"/>
          <w:szCs w:val="24"/>
        </w:rPr>
      </w:pPr>
    </w:p>
    <w:p w:rsidR="00906FD7" w:rsidRDefault="00906FD7" w:rsidP="00D73C87">
      <w:pPr>
        <w:pStyle w:val="Paragraphedeliste"/>
        <w:numPr>
          <w:ilvl w:val="0"/>
          <w:numId w:val="2"/>
        </w:numPr>
        <w:spacing w:after="0" w:line="276" w:lineRule="auto"/>
        <w:ind w:left="142" w:firstLine="142"/>
        <w:jc w:val="both"/>
        <w:rPr>
          <w:rFonts w:asciiTheme="majorBidi" w:hAnsiTheme="majorBidi" w:cstheme="majorBidi"/>
          <w:sz w:val="24"/>
          <w:szCs w:val="24"/>
        </w:rPr>
      </w:pPr>
      <w:r w:rsidRPr="00906FD7">
        <w:rPr>
          <w:rFonts w:asciiTheme="majorBidi" w:hAnsiTheme="majorBidi" w:cstheme="majorBidi"/>
          <w:sz w:val="24"/>
          <w:szCs w:val="24"/>
        </w:rPr>
        <w:t xml:space="preserve">La qualité comme perfection ou consistance : </w:t>
      </w:r>
      <w:r w:rsidR="00941116" w:rsidRPr="00906FD7">
        <w:rPr>
          <w:rFonts w:asciiTheme="majorBidi" w:hAnsiTheme="majorBidi" w:cstheme="majorBidi"/>
          <w:sz w:val="24"/>
          <w:szCs w:val="24"/>
        </w:rPr>
        <w:t xml:space="preserve">Cette visionperçoit la qualité comme </w:t>
      </w:r>
      <w:r w:rsidRPr="00906FD7">
        <w:rPr>
          <w:rFonts w:asciiTheme="majorBidi" w:hAnsiTheme="majorBidi" w:cstheme="majorBidi"/>
          <w:sz w:val="24"/>
          <w:szCs w:val="24"/>
        </w:rPr>
        <w:t>la conformité à des spécifications préétablies</w:t>
      </w:r>
      <w:r w:rsidR="00774915">
        <w:rPr>
          <w:rFonts w:asciiTheme="majorBidi" w:hAnsiTheme="majorBidi" w:cstheme="majorBidi"/>
          <w:sz w:val="24"/>
          <w:szCs w:val="24"/>
        </w:rPr>
        <w:t xml:space="preserve"> et l’absence de défauts</w:t>
      </w:r>
      <w:r w:rsidRPr="00906FD7">
        <w:rPr>
          <w:rFonts w:asciiTheme="majorBidi" w:hAnsiTheme="majorBidi" w:cstheme="majorBidi"/>
          <w:sz w:val="24"/>
          <w:szCs w:val="24"/>
        </w:rPr>
        <w:t>. Les processus d'assurance qualité s'orientent vers la standardisation des procédures</w:t>
      </w:r>
      <w:r w:rsidR="00E369D0">
        <w:rPr>
          <w:rFonts w:asciiTheme="majorBidi" w:hAnsiTheme="majorBidi" w:cstheme="majorBidi"/>
          <w:sz w:val="24"/>
          <w:szCs w:val="24"/>
        </w:rPr>
        <w:t>,</w:t>
      </w:r>
      <w:r w:rsidR="00774915">
        <w:rPr>
          <w:rFonts w:asciiTheme="majorBidi" w:hAnsiTheme="majorBidi" w:cstheme="majorBidi"/>
          <w:sz w:val="24"/>
          <w:szCs w:val="24"/>
        </w:rPr>
        <w:t xml:space="preserve">à titre d’exemple dispenser un </w:t>
      </w:r>
      <w:r w:rsidRPr="00906FD7">
        <w:rPr>
          <w:rFonts w:asciiTheme="majorBidi" w:hAnsiTheme="majorBidi" w:cstheme="majorBidi"/>
          <w:sz w:val="24"/>
          <w:szCs w:val="24"/>
        </w:rPr>
        <w:t>même programme</w:t>
      </w:r>
      <w:r w:rsidR="00774915">
        <w:rPr>
          <w:rFonts w:asciiTheme="majorBidi" w:hAnsiTheme="majorBidi" w:cstheme="majorBidi"/>
          <w:sz w:val="24"/>
          <w:szCs w:val="24"/>
        </w:rPr>
        <w:t xml:space="preserve"> sur plusieurs campus.</w:t>
      </w:r>
    </w:p>
    <w:p w:rsidR="00D73C87" w:rsidRPr="00D73C87" w:rsidRDefault="00D73C87" w:rsidP="00D73C87">
      <w:pPr>
        <w:spacing w:after="0" w:line="276" w:lineRule="auto"/>
        <w:jc w:val="both"/>
        <w:rPr>
          <w:rFonts w:asciiTheme="majorBidi" w:hAnsiTheme="majorBidi" w:cstheme="majorBidi"/>
          <w:sz w:val="24"/>
          <w:szCs w:val="24"/>
        </w:rPr>
      </w:pPr>
    </w:p>
    <w:p w:rsidR="00906FD7" w:rsidRDefault="00906FD7" w:rsidP="00D73C87">
      <w:pPr>
        <w:pStyle w:val="Paragraphedeliste"/>
        <w:numPr>
          <w:ilvl w:val="0"/>
          <w:numId w:val="2"/>
        </w:numPr>
        <w:spacing w:after="0" w:line="276" w:lineRule="auto"/>
        <w:ind w:left="142" w:firstLine="142"/>
        <w:jc w:val="both"/>
        <w:rPr>
          <w:rFonts w:asciiTheme="majorBidi" w:hAnsiTheme="majorBidi" w:cstheme="majorBidi"/>
          <w:sz w:val="24"/>
          <w:szCs w:val="24"/>
        </w:rPr>
      </w:pPr>
      <w:r w:rsidRPr="00906FD7">
        <w:rPr>
          <w:rFonts w:asciiTheme="majorBidi" w:hAnsiTheme="majorBidi" w:cstheme="majorBidi"/>
          <w:sz w:val="24"/>
          <w:szCs w:val="24"/>
        </w:rPr>
        <w:t xml:space="preserve">La qualité </w:t>
      </w:r>
      <w:r>
        <w:rPr>
          <w:rFonts w:asciiTheme="majorBidi" w:hAnsiTheme="majorBidi" w:cstheme="majorBidi"/>
          <w:sz w:val="24"/>
          <w:szCs w:val="24"/>
        </w:rPr>
        <w:t>comme adéquation à la finalité</w:t>
      </w:r>
      <w:r w:rsidRPr="00906FD7">
        <w:rPr>
          <w:rFonts w:asciiTheme="majorBidi" w:hAnsiTheme="majorBidi" w:cstheme="majorBidi"/>
          <w:sz w:val="24"/>
          <w:szCs w:val="24"/>
        </w:rPr>
        <w:t xml:space="preserve"> :</w:t>
      </w:r>
      <w:r w:rsidR="00774915">
        <w:rPr>
          <w:rFonts w:asciiTheme="majorBidi" w:hAnsiTheme="majorBidi" w:cstheme="majorBidi"/>
          <w:sz w:val="24"/>
          <w:szCs w:val="24"/>
        </w:rPr>
        <w:t xml:space="preserve"> Cette perspective présente </w:t>
      </w:r>
      <w:r w:rsidRPr="00906FD7">
        <w:rPr>
          <w:rFonts w:asciiTheme="majorBidi" w:hAnsiTheme="majorBidi" w:cstheme="majorBidi"/>
          <w:sz w:val="24"/>
          <w:szCs w:val="24"/>
        </w:rPr>
        <w:t>la qualité par la capacité d'un</w:t>
      </w:r>
      <w:r w:rsidR="00774915">
        <w:rPr>
          <w:rFonts w:asciiTheme="majorBidi" w:hAnsiTheme="majorBidi" w:cstheme="majorBidi"/>
          <w:sz w:val="24"/>
          <w:szCs w:val="24"/>
        </w:rPr>
        <w:t xml:space="preserve"> programme ou d’une</w:t>
      </w:r>
      <w:r w:rsidRPr="00906FD7">
        <w:rPr>
          <w:rFonts w:asciiTheme="majorBidi" w:hAnsiTheme="majorBidi" w:cstheme="majorBidi"/>
          <w:sz w:val="24"/>
          <w:szCs w:val="24"/>
        </w:rPr>
        <w:t xml:space="preserve"> institution à atteindre les objectifs qu'elle s'est fixés. L'évaluation de la qualité </w:t>
      </w:r>
      <w:r w:rsidR="00774915">
        <w:rPr>
          <w:rFonts w:asciiTheme="majorBidi" w:hAnsiTheme="majorBidi" w:cstheme="majorBidi"/>
          <w:sz w:val="24"/>
          <w:szCs w:val="24"/>
        </w:rPr>
        <w:t>ici, découle de</w:t>
      </w:r>
      <w:r w:rsidRPr="00906FD7">
        <w:rPr>
          <w:rFonts w:asciiTheme="majorBidi" w:hAnsiTheme="majorBidi" w:cstheme="majorBidi"/>
          <w:sz w:val="24"/>
          <w:szCs w:val="24"/>
        </w:rPr>
        <w:t xml:space="preserve"> l'alignement entre la mission institutionne</w:t>
      </w:r>
      <w:r w:rsidR="00774915">
        <w:rPr>
          <w:rFonts w:asciiTheme="majorBidi" w:hAnsiTheme="majorBidi" w:cstheme="majorBidi"/>
          <w:sz w:val="24"/>
          <w:szCs w:val="24"/>
        </w:rPr>
        <w:t>lle et le résultat obtenu</w:t>
      </w:r>
      <w:r w:rsidRPr="00906FD7">
        <w:rPr>
          <w:rFonts w:asciiTheme="majorBidi" w:hAnsiTheme="majorBidi" w:cstheme="majorBidi"/>
          <w:sz w:val="24"/>
          <w:szCs w:val="24"/>
        </w:rPr>
        <w:t>.</w:t>
      </w:r>
    </w:p>
    <w:p w:rsidR="00D73C87" w:rsidRPr="00D73C87" w:rsidRDefault="00D73C87" w:rsidP="00D73C87">
      <w:pPr>
        <w:spacing w:after="0" w:line="276" w:lineRule="auto"/>
        <w:jc w:val="both"/>
        <w:rPr>
          <w:rFonts w:asciiTheme="majorBidi" w:hAnsiTheme="majorBidi" w:cstheme="majorBidi"/>
          <w:sz w:val="24"/>
          <w:szCs w:val="24"/>
        </w:rPr>
      </w:pPr>
    </w:p>
    <w:p w:rsidR="00906FD7" w:rsidRDefault="00906FD7" w:rsidP="00D73C87">
      <w:pPr>
        <w:pStyle w:val="Paragraphedeliste"/>
        <w:numPr>
          <w:ilvl w:val="0"/>
          <w:numId w:val="2"/>
        </w:numPr>
        <w:spacing w:after="0" w:line="276" w:lineRule="auto"/>
        <w:ind w:left="142" w:firstLine="142"/>
        <w:jc w:val="both"/>
        <w:rPr>
          <w:rFonts w:asciiTheme="majorBidi" w:hAnsiTheme="majorBidi" w:cstheme="majorBidi"/>
          <w:sz w:val="24"/>
          <w:szCs w:val="24"/>
        </w:rPr>
      </w:pPr>
      <w:r w:rsidRPr="00906FD7">
        <w:rPr>
          <w:rFonts w:asciiTheme="majorBidi" w:hAnsiTheme="majorBidi" w:cstheme="majorBidi"/>
          <w:sz w:val="24"/>
          <w:szCs w:val="24"/>
        </w:rPr>
        <w:t>La qualité comme rapport qualité</w:t>
      </w:r>
      <w:r>
        <w:rPr>
          <w:rFonts w:asciiTheme="majorBidi" w:hAnsiTheme="majorBidi" w:cstheme="majorBidi"/>
          <w:sz w:val="24"/>
          <w:szCs w:val="24"/>
        </w:rPr>
        <w:t>/</w:t>
      </w:r>
      <w:r w:rsidR="00941116" w:rsidRPr="00906FD7">
        <w:rPr>
          <w:rFonts w:asciiTheme="majorBidi" w:hAnsiTheme="majorBidi" w:cstheme="majorBidi"/>
          <w:sz w:val="24"/>
          <w:szCs w:val="24"/>
        </w:rPr>
        <w:t>prix :</w:t>
      </w:r>
      <w:r w:rsidR="007A0213">
        <w:rPr>
          <w:rFonts w:asciiTheme="majorBidi" w:hAnsiTheme="majorBidi" w:cstheme="majorBidi"/>
          <w:sz w:val="24"/>
          <w:szCs w:val="24"/>
        </w:rPr>
        <w:t xml:space="preserve">Cette conception </w:t>
      </w:r>
      <w:r w:rsidR="003814ED" w:rsidRPr="00906FD7">
        <w:rPr>
          <w:rFonts w:asciiTheme="majorBidi" w:hAnsiTheme="majorBidi" w:cstheme="majorBidi"/>
          <w:sz w:val="24"/>
          <w:szCs w:val="24"/>
        </w:rPr>
        <w:t xml:space="preserve">met l'accent sur </w:t>
      </w:r>
      <w:r w:rsidRPr="00906FD7">
        <w:rPr>
          <w:rFonts w:asciiTheme="majorBidi" w:hAnsiTheme="majorBidi" w:cstheme="majorBidi"/>
          <w:sz w:val="24"/>
          <w:szCs w:val="24"/>
        </w:rPr>
        <w:t xml:space="preserve">l'efficacité et l'efficience, évalue la qualité en fonction des ressources investies par rapport aux bénéfices générés. Elle est </w:t>
      </w:r>
      <w:r w:rsidR="007A0213">
        <w:rPr>
          <w:rFonts w:asciiTheme="majorBidi" w:hAnsiTheme="majorBidi" w:cstheme="majorBidi"/>
          <w:sz w:val="24"/>
          <w:szCs w:val="24"/>
        </w:rPr>
        <w:t>généralement</w:t>
      </w:r>
      <w:r w:rsidRPr="00906FD7">
        <w:rPr>
          <w:rFonts w:asciiTheme="majorBidi" w:hAnsiTheme="majorBidi" w:cstheme="majorBidi"/>
          <w:sz w:val="24"/>
          <w:szCs w:val="24"/>
        </w:rPr>
        <w:t xml:space="preserve"> promue par les gouvernements et les agences de financement qui </w:t>
      </w:r>
      <w:r w:rsidR="007A0213">
        <w:rPr>
          <w:rFonts w:asciiTheme="majorBidi" w:hAnsiTheme="majorBidi" w:cstheme="majorBidi"/>
          <w:sz w:val="24"/>
          <w:szCs w:val="24"/>
        </w:rPr>
        <w:t xml:space="preserve">visent une optimisation de </w:t>
      </w:r>
      <w:r w:rsidRPr="00906FD7">
        <w:rPr>
          <w:rFonts w:asciiTheme="majorBidi" w:hAnsiTheme="majorBidi" w:cstheme="majorBidi"/>
          <w:sz w:val="24"/>
          <w:szCs w:val="24"/>
        </w:rPr>
        <w:t>l'utilisation des fonds publics.</w:t>
      </w:r>
    </w:p>
    <w:p w:rsidR="00D73C87" w:rsidRPr="00D73C87" w:rsidRDefault="00D73C87" w:rsidP="00D73C87">
      <w:pPr>
        <w:spacing w:after="0" w:line="276" w:lineRule="auto"/>
        <w:jc w:val="both"/>
        <w:rPr>
          <w:rFonts w:asciiTheme="majorBidi" w:hAnsiTheme="majorBidi" w:cstheme="majorBidi"/>
          <w:sz w:val="24"/>
          <w:szCs w:val="24"/>
        </w:rPr>
      </w:pPr>
    </w:p>
    <w:p w:rsidR="00906FD7" w:rsidRDefault="00906FD7" w:rsidP="00D73C87">
      <w:pPr>
        <w:pStyle w:val="Paragraphedeliste"/>
        <w:numPr>
          <w:ilvl w:val="0"/>
          <w:numId w:val="2"/>
        </w:numPr>
        <w:spacing w:line="276" w:lineRule="auto"/>
        <w:ind w:left="142" w:firstLine="142"/>
        <w:jc w:val="both"/>
        <w:rPr>
          <w:rFonts w:asciiTheme="majorBidi" w:hAnsiTheme="majorBidi" w:cstheme="majorBidi"/>
          <w:sz w:val="24"/>
          <w:szCs w:val="24"/>
        </w:rPr>
      </w:pPr>
      <w:r w:rsidRPr="00906FD7">
        <w:rPr>
          <w:rFonts w:asciiTheme="majorBidi" w:hAnsiTheme="majorBidi" w:cstheme="majorBidi"/>
          <w:sz w:val="24"/>
          <w:szCs w:val="24"/>
        </w:rPr>
        <w:t xml:space="preserve">La qualité comme transformation : Cette </w:t>
      </w:r>
      <w:r w:rsidR="003814ED">
        <w:rPr>
          <w:rFonts w:asciiTheme="majorBidi" w:hAnsiTheme="majorBidi" w:cstheme="majorBidi"/>
          <w:sz w:val="24"/>
          <w:szCs w:val="24"/>
        </w:rPr>
        <w:t xml:space="preserve">perspectiveest centrée </w:t>
      </w:r>
      <w:r w:rsidR="003814ED" w:rsidRPr="00906FD7">
        <w:rPr>
          <w:rFonts w:asciiTheme="majorBidi" w:hAnsiTheme="majorBidi" w:cstheme="majorBidi"/>
          <w:sz w:val="24"/>
          <w:szCs w:val="24"/>
        </w:rPr>
        <w:t xml:space="preserve">sur </w:t>
      </w:r>
      <w:r w:rsidRPr="00906FD7">
        <w:rPr>
          <w:rFonts w:asciiTheme="majorBidi" w:hAnsiTheme="majorBidi" w:cstheme="majorBidi"/>
          <w:sz w:val="24"/>
          <w:szCs w:val="24"/>
        </w:rPr>
        <w:t xml:space="preserve">la valeur ajoutée apportée à l'étudiant. </w:t>
      </w:r>
      <w:r w:rsidR="003814ED">
        <w:rPr>
          <w:rFonts w:asciiTheme="majorBidi" w:hAnsiTheme="majorBidi" w:cstheme="majorBidi"/>
          <w:sz w:val="24"/>
          <w:szCs w:val="24"/>
        </w:rPr>
        <w:t xml:space="preserve">Ici, la mesure de la qualité dépasse les </w:t>
      </w:r>
      <w:r w:rsidRPr="00906FD7">
        <w:rPr>
          <w:rFonts w:asciiTheme="majorBidi" w:hAnsiTheme="majorBidi" w:cstheme="majorBidi"/>
          <w:sz w:val="24"/>
          <w:szCs w:val="24"/>
        </w:rPr>
        <w:t xml:space="preserve">caractéristiques </w:t>
      </w:r>
      <w:r w:rsidR="003814ED" w:rsidRPr="00906FD7">
        <w:rPr>
          <w:rFonts w:asciiTheme="majorBidi" w:hAnsiTheme="majorBidi" w:cstheme="majorBidi"/>
          <w:sz w:val="24"/>
          <w:szCs w:val="24"/>
        </w:rPr>
        <w:t xml:space="preserve">à l'entrée </w:t>
      </w:r>
      <w:r w:rsidRPr="00906FD7">
        <w:rPr>
          <w:rFonts w:asciiTheme="majorBidi" w:hAnsiTheme="majorBidi" w:cstheme="majorBidi"/>
          <w:sz w:val="24"/>
          <w:szCs w:val="24"/>
        </w:rPr>
        <w:t xml:space="preserve">de l'étudiant, </w:t>
      </w:r>
      <w:r w:rsidR="003814ED">
        <w:rPr>
          <w:rFonts w:asciiTheme="majorBidi" w:hAnsiTheme="majorBidi" w:cstheme="majorBidi"/>
          <w:sz w:val="24"/>
          <w:szCs w:val="24"/>
        </w:rPr>
        <w:t xml:space="preserve">vers la prise en considération de </w:t>
      </w:r>
      <w:r w:rsidRPr="00906FD7">
        <w:rPr>
          <w:rFonts w:asciiTheme="majorBidi" w:hAnsiTheme="majorBidi" w:cstheme="majorBidi"/>
          <w:sz w:val="24"/>
          <w:szCs w:val="24"/>
        </w:rPr>
        <w:t xml:space="preserve">l'évolution de ses connaissances, compétences et </w:t>
      </w:r>
      <w:r w:rsidRPr="0005596E">
        <w:rPr>
          <w:rFonts w:asciiTheme="majorBidi" w:hAnsiTheme="majorBidi" w:cstheme="majorBidi"/>
          <w:sz w:val="24"/>
          <w:szCs w:val="24"/>
        </w:rPr>
        <w:t>valeurs au terme de</w:t>
      </w:r>
      <w:r w:rsidRPr="00906FD7">
        <w:rPr>
          <w:rFonts w:asciiTheme="majorBidi" w:hAnsiTheme="majorBidi" w:cstheme="majorBidi"/>
          <w:sz w:val="24"/>
          <w:szCs w:val="24"/>
        </w:rPr>
        <w:t xml:space="preserve"> son cursus. </w:t>
      </w:r>
      <w:r w:rsidR="003814ED">
        <w:rPr>
          <w:rFonts w:asciiTheme="majorBidi" w:hAnsiTheme="majorBidi" w:cstheme="majorBidi"/>
          <w:sz w:val="24"/>
          <w:szCs w:val="24"/>
        </w:rPr>
        <w:t xml:space="preserve">Elle place </w:t>
      </w:r>
      <w:r w:rsidR="003814ED" w:rsidRPr="00906FD7">
        <w:rPr>
          <w:rFonts w:asciiTheme="majorBidi" w:hAnsiTheme="majorBidi" w:cstheme="majorBidi"/>
          <w:sz w:val="24"/>
          <w:szCs w:val="24"/>
        </w:rPr>
        <w:t xml:space="preserve">le développement personnel </w:t>
      </w:r>
      <w:r w:rsidR="003814ED">
        <w:rPr>
          <w:rFonts w:asciiTheme="majorBidi" w:hAnsiTheme="majorBidi" w:cstheme="majorBidi"/>
          <w:sz w:val="24"/>
          <w:szCs w:val="24"/>
        </w:rPr>
        <w:t>et l'apprentissage</w:t>
      </w:r>
      <w:r w:rsidRPr="00906FD7">
        <w:rPr>
          <w:rFonts w:asciiTheme="majorBidi" w:hAnsiTheme="majorBidi" w:cstheme="majorBidi"/>
          <w:sz w:val="24"/>
          <w:szCs w:val="24"/>
        </w:rPr>
        <w:t xml:space="preserve"> au centre de l'évaluation.</w:t>
      </w:r>
    </w:p>
    <w:p w:rsidR="004F1339" w:rsidRPr="004F1339" w:rsidRDefault="004F1339" w:rsidP="004F1339">
      <w:pPr>
        <w:pStyle w:val="Paragraphedeliste"/>
        <w:rPr>
          <w:rFonts w:asciiTheme="majorBidi" w:hAnsiTheme="majorBidi" w:cstheme="majorBidi"/>
          <w:sz w:val="24"/>
          <w:szCs w:val="24"/>
        </w:rPr>
      </w:pPr>
    </w:p>
    <w:p w:rsidR="004F1339" w:rsidRDefault="004F1339" w:rsidP="004F1339">
      <w:pPr>
        <w:pStyle w:val="Paragraphedeliste"/>
        <w:numPr>
          <w:ilvl w:val="1"/>
          <w:numId w:val="1"/>
        </w:numPr>
        <w:spacing w:line="276" w:lineRule="auto"/>
        <w:ind w:left="426"/>
        <w:jc w:val="both"/>
        <w:rPr>
          <w:rFonts w:asciiTheme="majorBidi" w:hAnsiTheme="majorBidi" w:cstheme="majorBidi"/>
          <w:sz w:val="24"/>
          <w:szCs w:val="24"/>
        </w:rPr>
      </w:pPr>
      <w:r w:rsidRPr="004F1339">
        <w:rPr>
          <w:rFonts w:asciiTheme="majorBidi" w:hAnsiTheme="majorBidi" w:cstheme="majorBidi"/>
          <w:sz w:val="24"/>
          <w:szCs w:val="24"/>
        </w:rPr>
        <w:t>L’assurance qualité de l’enseignent supérieur</w:t>
      </w:r>
    </w:p>
    <w:p w:rsidR="004F1339" w:rsidRDefault="004F1339" w:rsidP="00DC3D5A">
      <w:pPr>
        <w:spacing w:line="276" w:lineRule="auto"/>
        <w:ind w:firstLine="284"/>
        <w:jc w:val="both"/>
        <w:rPr>
          <w:rFonts w:asciiTheme="majorBidi" w:hAnsiTheme="majorBidi" w:cstheme="majorBidi"/>
          <w:sz w:val="24"/>
          <w:szCs w:val="24"/>
        </w:rPr>
      </w:pPr>
      <w:r w:rsidRPr="004F1339">
        <w:rPr>
          <w:rFonts w:asciiTheme="majorBidi" w:hAnsiTheme="majorBidi" w:cstheme="majorBidi"/>
          <w:sz w:val="24"/>
          <w:szCs w:val="24"/>
        </w:rPr>
        <w:t>Dans la pratique, le concept de qualité est lié à celui d'assurance qualité, qui</w:t>
      </w:r>
      <w:r w:rsidR="00DC3D5A">
        <w:rPr>
          <w:rFonts w:asciiTheme="majorBidi" w:hAnsiTheme="majorBidi" w:cstheme="majorBidi"/>
          <w:sz w:val="24"/>
          <w:szCs w:val="24"/>
        </w:rPr>
        <w:t xml:space="preserve"> vise à garantir que les normes, </w:t>
      </w:r>
      <w:r>
        <w:rPr>
          <w:rFonts w:asciiTheme="majorBidi" w:hAnsiTheme="majorBidi" w:cstheme="majorBidi"/>
          <w:sz w:val="24"/>
          <w:szCs w:val="24"/>
        </w:rPr>
        <w:t xml:space="preserve">notamment </w:t>
      </w:r>
      <w:r w:rsidRPr="004F1339">
        <w:rPr>
          <w:rFonts w:asciiTheme="majorBidi" w:hAnsiTheme="majorBidi" w:cstheme="majorBidi"/>
          <w:sz w:val="24"/>
          <w:szCs w:val="24"/>
        </w:rPr>
        <w:t>académiques</w:t>
      </w:r>
      <w:r w:rsidR="00DC3D5A">
        <w:rPr>
          <w:rFonts w:asciiTheme="majorBidi" w:hAnsiTheme="majorBidi" w:cstheme="majorBidi"/>
          <w:sz w:val="24"/>
          <w:szCs w:val="24"/>
        </w:rPr>
        <w:t>,</w:t>
      </w:r>
      <w:r w:rsidRPr="004F1339">
        <w:rPr>
          <w:rFonts w:asciiTheme="majorBidi" w:hAnsiTheme="majorBidi" w:cstheme="majorBidi"/>
          <w:sz w:val="24"/>
          <w:szCs w:val="24"/>
        </w:rPr>
        <w:t xml:space="preserve"> et les attentes des </w:t>
      </w:r>
      <w:r>
        <w:rPr>
          <w:rFonts w:asciiTheme="majorBidi" w:hAnsiTheme="majorBidi" w:cstheme="majorBidi"/>
          <w:sz w:val="24"/>
          <w:szCs w:val="24"/>
        </w:rPr>
        <w:t xml:space="preserve">différentes </w:t>
      </w:r>
      <w:r w:rsidRPr="004F1339">
        <w:rPr>
          <w:rFonts w:asciiTheme="majorBidi" w:hAnsiTheme="majorBidi" w:cstheme="majorBidi"/>
          <w:sz w:val="24"/>
          <w:szCs w:val="24"/>
        </w:rPr>
        <w:t xml:space="preserve">parties prenantes sont satisfaites. L'évolution de ce domaine </w:t>
      </w:r>
      <w:r>
        <w:rPr>
          <w:rFonts w:asciiTheme="majorBidi" w:hAnsiTheme="majorBidi" w:cstheme="majorBidi"/>
          <w:sz w:val="24"/>
          <w:szCs w:val="24"/>
        </w:rPr>
        <w:t xml:space="preserve">est marquée </w:t>
      </w:r>
      <w:r w:rsidRPr="004F1339">
        <w:rPr>
          <w:rFonts w:asciiTheme="majorBidi" w:hAnsiTheme="majorBidi" w:cstheme="majorBidi"/>
          <w:sz w:val="24"/>
          <w:szCs w:val="24"/>
        </w:rPr>
        <w:t>par un</w:t>
      </w:r>
      <w:r w:rsidR="00DC3D5A">
        <w:rPr>
          <w:rFonts w:asciiTheme="majorBidi" w:hAnsiTheme="majorBidi" w:cstheme="majorBidi"/>
          <w:sz w:val="24"/>
          <w:szCs w:val="24"/>
        </w:rPr>
        <w:t>e</w:t>
      </w:r>
      <w:r>
        <w:rPr>
          <w:rFonts w:asciiTheme="majorBidi" w:hAnsiTheme="majorBidi" w:cstheme="majorBidi"/>
          <w:sz w:val="24"/>
          <w:szCs w:val="24"/>
        </w:rPr>
        <w:t>mutation</w:t>
      </w:r>
      <w:r w:rsidRPr="004F1339">
        <w:rPr>
          <w:rFonts w:asciiTheme="majorBidi" w:hAnsiTheme="majorBidi" w:cstheme="majorBidi"/>
          <w:sz w:val="24"/>
          <w:szCs w:val="24"/>
        </w:rPr>
        <w:t xml:space="preserve"> d'une log</w:t>
      </w:r>
      <w:r>
        <w:rPr>
          <w:rFonts w:asciiTheme="majorBidi" w:hAnsiTheme="majorBidi" w:cstheme="majorBidi"/>
          <w:sz w:val="24"/>
          <w:szCs w:val="24"/>
        </w:rPr>
        <w:t xml:space="preserve">ique simple où le contrôle qualité est synonyme de </w:t>
      </w:r>
      <w:r w:rsidRPr="00B34C40">
        <w:rPr>
          <w:rFonts w:asciiTheme="majorBidi" w:hAnsiTheme="majorBidi" w:cstheme="majorBidi"/>
          <w:sz w:val="24"/>
          <w:szCs w:val="24"/>
        </w:rPr>
        <w:t>vérification des standards minimums, vers une approche plus proactived'amélioration continue (Harvey, 2005). En</w:t>
      </w:r>
      <w:r>
        <w:rPr>
          <w:rFonts w:asciiTheme="majorBidi" w:hAnsiTheme="majorBidi" w:cstheme="majorBidi"/>
          <w:sz w:val="24"/>
          <w:szCs w:val="24"/>
        </w:rPr>
        <w:t xml:space="preserve"> règle générale, l</w:t>
      </w:r>
      <w:r w:rsidRPr="004F1339">
        <w:rPr>
          <w:rFonts w:asciiTheme="majorBidi" w:hAnsiTheme="majorBidi" w:cstheme="majorBidi"/>
          <w:sz w:val="24"/>
          <w:szCs w:val="24"/>
        </w:rPr>
        <w:t>'assurance qualité contemporain</w:t>
      </w:r>
      <w:r>
        <w:rPr>
          <w:rFonts w:asciiTheme="majorBidi" w:hAnsiTheme="majorBidi" w:cstheme="majorBidi"/>
          <w:sz w:val="24"/>
          <w:szCs w:val="24"/>
        </w:rPr>
        <w:t xml:space="preserve">e s'articule </w:t>
      </w:r>
      <w:r w:rsidRPr="004F1339">
        <w:rPr>
          <w:rFonts w:asciiTheme="majorBidi" w:hAnsiTheme="majorBidi" w:cstheme="majorBidi"/>
          <w:sz w:val="24"/>
          <w:szCs w:val="24"/>
        </w:rPr>
        <w:t xml:space="preserve">autour </w:t>
      </w:r>
      <w:r>
        <w:rPr>
          <w:rFonts w:asciiTheme="majorBidi" w:hAnsiTheme="majorBidi" w:cstheme="majorBidi"/>
          <w:sz w:val="24"/>
          <w:szCs w:val="24"/>
        </w:rPr>
        <w:t xml:space="preserve">des dimensions suivantes </w:t>
      </w:r>
      <w:r w:rsidRPr="004F1339">
        <w:rPr>
          <w:rFonts w:asciiTheme="majorBidi" w:hAnsiTheme="majorBidi" w:cstheme="majorBidi"/>
          <w:sz w:val="24"/>
          <w:szCs w:val="24"/>
        </w:rPr>
        <w:t>: les intrants,</w:t>
      </w:r>
      <w:r w:rsidR="00ED3F18">
        <w:rPr>
          <w:rFonts w:asciiTheme="majorBidi" w:hAnsiTheme="majorBidi" w:cstheme="majorBidi"/>
          <w:sz w:val="24"/>
          <w:szCs w:val="24"/>
        </w:rPr>
        <w:t xml:space="preserve"> les processus et les résultats.</w:t>
      </w:r>
    </w:p>
    <w:p w:rsidR="00095D97" w:rsidRPr="00095D97" w:rsidRDefault="00095D97" w:rsidP="00D73C87">
      <w:pPr>
        <w:spacing w:line="276" w:lineRule="auto"/>
        <w:ind w:left="142" w:firstLine="142"/>
        <w:jc w:val="both"/>
        <w:rPr>
          <w:rFonts w:asciiTheme="majorBidi" w:hAnsiTheme="majorBidi" w:cstheme="majorBidi"/>
          <w:sz w:val="24"/>
          <w:szCs w:val="24"/>
        </w:rPr>
      </w:pPr>
      <w:r w:rsidRPr="00095D97">
        <w:rPr>
          <w:rFonts w:asciiTheme="majorBidi" w:hAnsiTheme="majorBidi" w:cstheme="majorBidi"/>
          <w:sz w:val="24"/>
          <w:szCs w:val="24"/>
        </w:rPr>
        <w:t>A.</w:t>
      </w:r>
      <w:r w:rsidRPr="00095D97">
        <w:rPr>
          <w:rFonts w:asciiTheme="majorBidi" w:hAnsiTheme="majorBidi" w:cstheme="majorBidi"/>
          <w:sz w:val="24"/>
          <w:szCs w:val="24"/>
        </w:rPr>
        <w:tab/>
        <w:t xml:space="preserve">Les intrants: Ils concernent les conditions initiales </w:t>
      </w:r>
      <w:r>
        <w:rPr>
          <w:rFonts w:asciiTheme="majorBidi" w:hAnsiTheme="majorBidi" w:cstheme="majorBidi"/>
          <w:sz w:val="24"/>
          <w:szCs w:val="24"/>
        </w:rPr>
        <w:t xml:space="preserve">et les </w:t>
      </w:r>
      <w:r w:rsidRPr="00095D97">
        <w:rPr>
          <w:rFonts w:asciiTheme="majorBidi" w:hAnsiTheme="majorBidi" w:cstheme="majorBidi"/>
          <w:sz w:val="24"/>
          <w:szCs w:val="24"/>
        </w:rPr>
        <w:t xml:space="preserve">ressources qui contribuent à la qualité. Cela </w:t>
      </w:r>
      <w:r>
        <w:rPr>
          <w:rFonts w:asciiTheme="majorBidi" w:hAnsiTheme="majorBidi" w:cstheme="majorBidi"/>
          <w:sz w:val="24"/>
          <w:szCs w:val="24"/>
        </w:rPr>
        <w:t xml:space="preserve">peut inclure </w:t>
      </w:r>
      <w:r w:rsidRPr="00095D97">
        <w:rPr>
          <w:rFonts w:asciiTheme="majorBidi" w:hAnsiTheme="majorBidi" w:cstheme="majorBidi"/>
          <w:sz w:val="24"/>
          <w:szCs w:val="24"/>
        </w:rPr>
        <w:t>le financement de</w:t>
      </w:r>
      <w:r>
        <w:rPr>
          <w:rFonts w:asciiTheme="majorBidi" w:hAnsiTheme="majorBidi" w:cstheme="majorBidi"/>
          <w:sz w:val="24"/>
          <w:szCs w:val="24"/>
        </w:rPr>
        <w:t xml:space="preserve">s </w:t>
      </w:r>
      <w:r w:rsidRPr="00095D97">
        <w:rPr>
          <w:rFonts w:asciiTheme="majorBidi" w:hAnsiTheme="majorBidi" w:cstheme="majorBidi"/>
          <w:sz w:val="24"/>
          <w:szCs w:val="24"/>
        </w:rPr>
        <w:t>institution</w:t>
      </w:r>
      <w:r>
        <w:rPr>
          <w:rFonts w:asciiTheme="majorBidi" w:hAnsiTheme="majorBidi" w:cstheme="majorBidi"/>
          <w:sz w:val="24"/>
          <w:szCs w:val="24"/>
        </w:rPr>
        <w:t>s</w:t>
      </w:r>
      <w:r w:rsidRPr="00095D97">
        <w:rPr>
          <w:rFonts w:asciiTheme="majorBidi" w:hAnsiTheme="majorBidi" w:cstheme="majorBidi"/>
          <w:sz w:val="24"/>
          <w:szCs w:val="24"/>
        </w:rPr>
        <w:t>, l'infrastructure physique et technologique (bibliothèques, laboratoires</w:t>
      </w:r>
      <w:r w:rsidR="00DC3D5A">
        <w:rPr>
          <w:rFonts w:asciiTheme="majorBidi" w:hAnsiTheme="majorBidi" w:cstheme="majorBidi"/>
          <w:sz w:val="24"/>
          <w:szCs w:val="24"/>
        </w:rPr>
        <w:t>…etc</w:t>
      </w:r>
      <w:r w:rsidRPr="00095D97">
        <w:rPr>
          <w:rFonts w:asciiTheme="majorBidi" w:hAnsiTheme="majorBidi" w:cstheme="majorBidi"/>
          <w:sz w:val="24"/>
          <w:szCs w:val="24"/>
        </w:rPr>
        <w:t>)</w:t>
      </w:r>
      <w:r>
        <w:rPr>
          <w:rFonts w:asciiTheme="majorBidi" w:hAnsiTheme="majorBidi" w:cstheme="majorBidi"/>
          <w:sz w:val="24"/>
          <w:szCs w:val="24"/>
        </w:rPr>
        <w:t xml:space="preserve">, </w:t>
      </w:r>
      <w:r w:rsidRPr="00095D97">
        <w:rPr>
          <w:rFonts w:asciiTheme="majorBidi" w:hAnsiTheme="majorBidi" w:cstheme="majorBidi"/>
          <w:sz w:val="24"/>
          <w:szCs w:val="24"/>
        </w:rPr>
        <w:t xml:space="preserve">les qualifications </w:t>
      </w:r>
      <w:r>
        <w:rPr>
          <w:rFonts w:asciiTheme="majorBidi" w:hAnsiTheme="majorBidi" w:cstheme="majorBidi"/>
          <w:sz w:val="24"/>
          <w:szCs w:val="24"/>
        </w:rPr>
        <w:t>de l’équipe pédagogique</w:t>
      </w:r>
      <w:r w:rsidRPr="00095D97">
        <w:rPr>
          <w:rFonts w:asciiTheme="majorBidi" w:hAnsiTheme="majorBidi" w:cstheme="majorBidi"/>
          <w:sz w:val="24"/>
          <w:szCs w:val="24"/>
        </w:rPr>
        <w:t xml:space="preserve">, le ratio étudiants/enseignants, ainsi que la qualité initiale des étudiants admis. </w:t>
      </w:r>
      <w:r w:rsidR="00B04481">
        <w:rPr>
          <w:rFonts w:asciiTheme="majorBidi" w:hAnsiTheme="majorBidi" w:cstheme="majorBidi"/>
          <w:sz w:val="24"/>
          <w:szCs w:val="24"/>
        </w:rPr>
        <w:t>Souvent c</w:t>
      </w:r>
      <w:r w:rsidRPr="00095D97">
        <w:rPr>
          <w:rFonts w:asciiTheme="majorBidi" w:hAnsiTheme="majorBidi" w:cstheme="majorBidi"/>
          <w:sz w:val="24"/>
          <w:szCs w:val="24"/>
        </w:rPr>
        <w:t xml:space="preserve">es facteurs </w:t>
      </w:r>
      <w:r w:rsidR="00B04481">
        <w:rPr>
          <w:rFonts w:asciiTheme="majorBidi" w:hAnsiTheme="majorBidi" w:cstheme="majorBidi"/>
          <w:sz w:val="24"/>
          <w:szCs w:val="24"/>
        </w:rPr>
        <w:t xml:space="preserve">sont considérés </w:t>
      </w:r>
      <w:r w:rsidRPr="00095D97">
        <w:rPr>
          <w:rFonts w:asciiTheme="majorBidi" w:hAnsiTheme="majorBidi" w:cstheme="majorBidi"/>
          <w:sz w:val="24"/>
          <w:szCs w:val="24"/>
        </w:rPr>
        <w:t>comme des prérequis pour l'excellence académique.</w:t>
      </w:r>
    </w:p>
    <w:p w:rsidR="00095D97" w:rsidRPr="00095D97" w:rsidRDefault="00095D97" w:rsidP="00DC3D5A">
      <w:pPr>
        <w:spacing w:line="276" w:lineRule="auto"/>
        <w:ind w:left="142" w:firstLine="142"/>
        <w:jc w:val="both"/>
        <w:rPr>
          <w:rFonts w:asciiTheme="majorBidi" w:hAnsiTheme="majorBidi" w:cstheme="majorBidi"/>
          <w:sz w:val="24"/>
          <w:szCs w:val="24"/>
        </w:rPr>
      </w:pPr>
      <w:r w:rsidRPr="00095D97">
        <w:rPr>
          <w:rFonts w:asciiTheme="majorBidi" w:hAnsiTheme="majorBidi" w:cstheme="majorBidi"/>
          <w:sz w:val="24"/>
          <w:szCs w:val="24"/>
        </w:rPr>
        <w:lastRenderedPageBreak/>
        <w:t>B.</w:t>
      </w:r>
      <w:r w:rsidRPr="00095D97">
        <w:rPr>
          <w:rFonts w:asciiTheme="majorBidi" w:hAnsiTheme="majorBidi" w:cstheme="majorBidi"/>
          <w:sz w:val="24"/>
          <w:szCs w:val="24"/>
        </w:rPr>
        <w:tab/>
        <w:t xml:space="preserve">Les processus : </w:t>
      </w:r>
      <w:r w:rsidR="00DC3D5A" w:rsidRPr="00095D97">
        <w:rPr>
          <w:rFonts w:asciiTheme="majorBidi" w:hAnsiTheme="majorBidi" w:cstheme="majorBidi"/>
          <w:sz w:val="24"/>
          <w:szCs w:val="24"/>
        </w:rPr>
        <w:t xml:space="preserve">Ils concernent </w:t>
      </w:r>
      <w:r w:rsidR="00867266">
        <w:rPr>
          <w:rFonts w:asciiTheme="majorBidi" w:hAnsiTheme="majorBidi" w:cstheme="majorBidi"/>
          <w:sz w:val="24"/>
          <w:szCs w:val="24"/>
        </w:rPr>
        <w:t xml:space="preserve">la façon d’utiliser les </w:t>
      </w:r>
      <w:r w:rsidRPr="00095D97">
        <w:rPr>
          <w:rFonts w:asciiTheme="majorBidi" w:hAnsiTheme="majorBidi" w:cstheme="majorBidi"/>
          <w:sz w:val="24"/>
          <w:szCs w:val="24"/>
        </w:rPr>
        <w:t xml:space="preserve">intrants </w:t>
      </w:r>
      <w:r w:rsidR="00867266">
        <w:rPr>
          <w:rFonts w:asciiTheme="majorBidi" w:hAnsiTheme="majorBidi" w:cstheme="majorBidi"/>
          <w:sz w:val="24"/>
          <w:szCs w:val="24"/>
        </w:rPr>
        <w:t>afin de</w:t>
      </w:r>
      <w:r w:rsidRPr="00095D97">
        <w:rPr>
          <w:rFonts w:asciiTheme="majorBidi" w:hAnsiTheme="majorBidi" w:cstheme="majorBidi"/>
          <w:sz w:val="24"/>
          <w:szCs w:val="24"/>
        </w:rPr>
        <w:t xml:space="preserve"> produire les résultats</w:t>
      </w:r>
      <w:r w:rsidR="00867266">
        <w:rPr>
          <w:rFonts w:asciiTheme="majorBidi" w:hAnsiTheme="majorBidi" w:cstheme="majorBidi"/>
          <w:sz w:val="24"/>
          <w:szCs w:val="24"/>
        </w:rPr>
        <w:t xml:space="preserve"> souhaités</w:t>
      </w:r>
      <w:r w:rsidRPr="00095D97">
        <w:rPr>
          <w:rFonts w:asciiTheme="majorBidi" w:hAnsiTheme="majorBidi" w:cstheme="majorBidi"/>
          <w:sz w:val="24"/>
          <w:szCs w:val="24"/>
        </w:rPr>
        <w:t>. Elle englobe</w:t>
      </w:r>
      <w:r w:rsidR="00867266">
        <w:rPr>
          <w:rFonts w:asciiTheme="majorBidi" w:hAnsiTheme="majorBidi" w:cstheme="majorBidi"/>
          <w:sz w:val="24"/>
          <w:szCs w:val="24"/>
        </w:rPr>
        <w:t>,</w:t>
      </w:r>
      <w:r w:rsidR="00867266" w:rsidRPr="00095D97">
        <w:rPr>
          <w:rFonts w:asciiTheme="majorBidi" w:hAnsiTheme="majorBidi" w:cstheme="majorBidi"/>
          <w:sz w:val="24"/>
          <w:szCs w:val="24"/>
        </w:rPr>
        <w:t xml:space="preserve">le design des curriculums, </w:t>
      </w:r>
      <w:r w:rsidRPr="00095D97">
        <w:rPr>
          <w:rFonts w:asciiTheme="majorBidi" w:hAnsiTheme="majorBidi" w:cstheme="majorBidi"/>
          <w:sz w:val="24"/>
          <w:szCs w:val="24"/>
        </w:rPr>
        <w:t>les méthodes d'enseignement et d'apprentissage, l'évaluation des étudiants, le soutien pédagogique, et les services d'encadrement des étudiants. L'efficacité des processus est souvent liée à la capacité de l'institution à créer un environnement d'apprentissage stimulant et propice au développement.</w:t>
      </w:r>
    </w:p>
    <w:p w:rsidR="00095D97" w:rsidRPr="00B34C40" w:rsidRDefault="00095D97" w:rsidP="0079381B">
      <w:pPr>
        <w:spacing w:after="0" w:line="276" w:lineRule="auto"/>
        <w:ind w:left="142" w:firstLine="142"/>
        <w:jc w:val="both"/>
        <w:rPr>
          <w:rFonts w:asciiTheme="majorBidi" w:hAnsiTheme="majorBidi" w:cstheme="majorBidi"/>
          <w:sz w:val="24"/>
          <w:szCs w:val="24"/>
        </w:rPr>
      </w:pPr>
      <w:r w:rsidRPr="00095D97">
        <w:rPr>
          <w:rFonts w:asciiTheme="majorBidi" w:hAnsiTheme="majorBidi" w:cstheme="majorBidi"/>
          <w:sz w:val="24"/>
          <w:szCs w:val="24"/>
        </w:rPr>
        <w:t>C.</w:t>
      </w:r>
      <w:r w:rsidRPr="00095D97">
        <w:rPr>
          <w:rFonts w:asciiTheme="majorBidi" w:hAnsiTheme="majorBidi" w:cstheme="majorBidi"/>
          <w:sz w:val="24"/>
          <w:szCs w:val="24"/>
        </w:rPr>
        <w:tab/>
        <w:t xml:space="preserve">Les résultats: </w:t>
      </w:r>
      <w:r w:rsidR="00F545FD">
        <w:rPr>
          <w:rFonts w:asciiTheme="majorBidi" w:hAnsiTheme="majorBidi" w:cstheme="majorBidi"/>
          <w:sz w:val="24"/>
          <w:szCs w:val="24"/>
        </w:rPr>
        <w:t>L</w:t>
      </w:r>
      <w:r w:rsidRPr="00095D97">
        <w:rPr>
          <w:rFonts w:asciiTheme="majorBidi" w:hAnsiTheme="majorBidi" w:cstheme="majorBidi"/>
          <w:sz w:val="24"/>
          <w:szCs w:val="24"/>
        </w:rPr>
        <w:t xml:space="preserve">a plus directement </w:t>
      </w:r>
      <w:r w:rsidR="00F545FD">
        <w:rPr>
          <w:rFonts w:asciiTheme="majorBidi" w:hAnsiTheme="majorBidi" w:cstheme="majorBidi"/>
          <w:sz w:val="24"/>
          <w:szCs w:val="24"/>
        </w:rPr>
        <w:t>liée à l'impac</w:t>
      </w:r>
      <w:r w:rsidR="00F31707">
        <w:rPr>
          <w:rFonts w:asciiTheme="majorBidi" w:hAnsiTheme="majorBidi" w:cstheme="majorBidi"/>
          <w:sz w:val="24"/>
          <w:szCs w:val="24"/>
        </w:rPr>
        <w:t xml:space="preserve">t de l'éducation où </w:t>
      </w:r>
      <w:r w:rsidR="00F545FD">
        <w:rPr>
          <w:rFonts w:asciiTheme="majorBidi" w:hAnsiTheme="majorBidi" w:cstheme="majorBidi"/>
          <w:sz w:val="24"/>
          <w:szCs w:val="24"/>
        </w:rPr>
        <w:t>l</w:t>
      </w:r>
      <w:r w:rsidRPr="00095D97">
        <w:rPr>
          <w:rFonts w:asciiTheme="majorBidi" w:hAnsiTheme="majorBidi" w:cstheme="majorBidi"/>
          <w:sz w:val="24"/>
          <w:szCs w:val="24"/>
        </w:rPr>
        <w:t>es résultats mesurent l'effet de l'enseignement sur les étudia</w:t>
      </w:r>
      <w:r w:rsidR="00F545FD">
        <w:rPr>
          <w:rFonts w:asciiTheme="majorBidi" w:hAnsiTheme="majorBidi" w:cstheme="majorBidi"/>
          <w:sz w:val="24"/>
          <w:szCs w:val="24"/>
        </w:rPr>
        <w:t xml:space="preserve">nts et la société. Ils incluent la satisfaction des diplômés </w:t>
      </w:r>
      <w:r w:rsidR="00F545FD" w:rsidRPr="00095D97">
        <w:rPr>
          <w:rFonts w:asciiTheme="majorBidi" w:hAnsiTheme="majorBidi" w:cstheme="majorBidi"/>
          <w:sz w:val="24"/>
          <w:szCs w:val="24"/>
        </w:rPr>
        <w:t>à l'égard de leur formation</w:t>
      </w:r>
      <w:r w:rsidR="00F545FD">
        <w:rPr>
          <w:rFonts w:asciiTheme="majorBidi" w:hAnsiTheme="majorBidi" w:cstheme="majorBidi"/>
          <w:sz w:val="24"/>
          <w:szCs w:val="24"/>
        </w:rPr>
        <w:t>, leur</w:t>
      </w:r>
      <w:r w:rsidRPr="00095D97">
        <w:rPr>
          <w:rFonts w:asciiTheme="majorBidi" w:hAnsiTheme="majorBidi" w:cstheme="majorBidi"/>
          <w:sz w:val="24"/>
          <w:szCs w:val="24"/>
        </w:rPr>
        <w:t>l'employabi</w:t>
      </w:r>
      <w:r w:rsidR="009827E0">
        <w:rPr>
          <w:rFonts w:asciiTheme="majorBidi" w:hAnsiTheme="majorBidi" w:cstheme="majorBidi"/>
          <w:sz w:val="24"/>
          <w:szCs w:val="24"/>
        </w:rPr>
        <w:t>lité, leur salaire à l'embauche</w:t>
      </w:r>
      <w:r w:rsidRPr="00095D97">
        <w:rPr>
          <w:rFonts w:asciiTheme="majorBidi" w:hAnsiTheme="majorBidi" w:cstheme="majorBidi"/>
          <w:sz w:val="24"/>
          <w:szCs w:val="24"/>
        </w:rPr>
        <w:t xml:space="preserve"> mais aussi le volume et l'impact de la recherche produite par l'instituti</w:t>
      </w:r>
      <w:r w:rsidRPr="00B34C40">
        <w:rPr>
          <w:rFonts w:asciiTheme="majorBidi" w:hAnsiTheme="majorBidi" w:cstheme="majorBidi"/>
          <w:sz w:val="24"/>
          <w:szCs w:val="24"/>
        </w:rPr>
        <w:t>on (Vroeijenstijn, 1995).</w:t>
      </w:r>
    </w:p>
    <w:p w:rsidR="0079381B" w:rsidRPr="00B34C40" w:rsidRDefault="0079381B" w:rsidP="0079381B">
      <w:pPr>
        <w:spacing w:after="0" w:line="276" w:lineRule="auto"/>
        <w:ind w:left="142" w:firstLine="142"/>
        <w:jc w:val="both"/>
        <w:rPr>
          <w:rFonts w:asciiTheme="majorBidi" w:hAnsiTheme="majorBidi" w:cstheme="majorBidi"/>
          <w:sz w:val="24"/>
          <w:szCs w:val="24"/>
        </w:rPr>
      </w:pPr>
    </w:p>
    <w:p w:rsidR="00577A19" w:rsidRPr="00B34C40" w:rsidRDefault="00577A19" w:rsidP="00577A19">
      <w:pPr>
        <w:pStyle w:val="Paragraphedeliste"/>
        <w:numPr>
          <w:ilvl w:val="0"/>
          <w:numId w:val="1"/>
        </w:numPr>
        <w:spacing w:line="276" w:lineRule="auto"/>
        <w:ind w:left="426"/>
        <w:jc w:val="both"/>
        <w:rPr>
          <w:rFonts w:asciiTheme="majorBidi" w:hAnsiTheme="majorBidi" w:cstheme="majorBidi"/>
          <w:b/>
          <w:bCs/>
        </w:rPr>
      </w:pPr>
      <w:r w:rsidRPr="00B34C40">
        <w:rPr>
          <w:rFonts w:asciiTheme="majorBidi" w:hAnsiTheme="majorBidi" w:cstheme="majorBidi"/>
          <w:b/>
          <w:bCs/>
        </w:rPr>
        <w:t>Le programme Européen ERASMUS</w:t>
      </w:r>
    </w:p>
    <w:p w:rsidR="00314AD9" w:rsidRDefault="006904CE" w:rsidP="00A06692">
      <w:pPr>
        <w:spacing w:line="276" w:lineRule="auto"/>
        <w:ind w:firstLine="284"/>
        <w:jc w:val="both"/>
        <w:rPr>
          <w:rFonts w:asciiTheme="majorBidi" w:hAnsiTheme="majorBidi" w:cstheme="majorBidi"/>
          <w:sz w:val="24"/>
          <w:szCs w:val="24"/>
        </w:rPr>
      </w:pPr>
      <w:r w:rsidRPr="00B34C40">
        <w:rPr>
          <w:rFonts w:asciiTheme="majorBidi" w:hAnsiTheme="majorBidi" w:cstheme="majorBidi"/>
          <w:sz w:val="24"/>
          <w:szCs w:val="24"/>
        </w:rPr>
        <w:t xml:space="preserve">En matière de mobilité </w:t>
      </w:r>
      <w:r w:rsidR="00A06692">
        <w:rPr>
          <w:rFonts w:asciiTheme="majorBidi" w:hAnsiTheme="majorBidi" w:cstheme="majorBidi"/>
          <w:sz w:val="24"/>
          <w:szCs w:val="24"/>
        </w:rPr>
        <w:t>des étudiant</w:t>
      </w:r>
      <w:r w:rsidRPr="00B34C40">
        <w:rPr>
          <w:rFonts w:asciiTheme="majorBidi" w:hAnsiTheme="majorBidi" w:cstheme="majorBidi"/>
          <w:sz w:val="24"/>
          <w:szCs w:val="24"/>
        </w:rPr>
        <w:t>, l</w:t>
      </w:r>
      <w:r w:rsidR="00314AD9" w:rsidRPr="00B34C40">
        <w:rPr>
          <w:rFonts w:asciiTheme="majorBidi" w:hAnsiTheme="majorBidi" w:cstheme="majorBidi"/>
          <w:sz w:val="24"/>
          <w:szCs w:val="24"/>
        </w:rPr>
        <w:t xml:space="preserve">e programme Erasmus </w:t>
      </w:r>
      <w:r w:rsidRPr="00B34C40">
        <w:rPr>
          <w:rFonts w:asciiTheme="majorBidi" w:hAnsiTheme="majorBidi" w:cstheme="majorBidi"/>
          <w:sz w:val="24"/>
          <w:szCs w:val="24"/>
        </w:rPr>
        <w:t>reste l’un des programmes les plus pertinent</w:t>
      </w:r>
      <w:r w:rsidR="00A06692">
        <w:rPr>
          <w:rFonts w:asciiTheme="majorBidi" w:hAnsiTheme="majorBidi" w:cstheme="majorBidi"/>
          <w:sz w:val="24"/>
          <w:szCs w:val="24"/>
        </w:rPr>
        <w:t>s</w:t>
      </w:r>
      <w:r w:rsidRPr="00B34C40">
        <w:rPr>
          <w:rFonts w:asciiTheme="majorBidi" w:hAnsiTheme="majorBidi" w:cstheme="majorBidi"/>
          <w:sz w:val="24"/>
          <w:szCs w:val="24"/>
        </w:rPr>
        <w:t xml:space="preserve"> comme étude de cas.</w:t>
      </w:r>
      <w:r w:rsidR="00314AD9" w:rsidRPr="00B34C40">
        <w:rPr>
          <w:rFonts w:asciiTheme="majorBidi" w:hAnsiTheme="majorBidi" w:cstheme="majorBidi"/>
          <w:sz w:val="24"/>
          <w:szCs w:val="24"/>
        </w:rPr>
        <w:t xml:space="preserve"> Lancé en 1987, il a permis à des millions d'étudiants</w:t>
      </w:r>
      <w:r w:rsidR="00A06692">
        <w:rPr>
          <w:rFonts w:asciiTheme="majorBidi" w:hAnsiTheme="majorBidi" w:cstheme="majorBidi"/>
          <w:sz w:val="24"/>
          <w:szCs w:val="24"/>
        </w:rPr>
        <w:t xml:space="preserve"> européens </w:t>
      </w:r>
      <w:r w:rsidR="00314AD9" w:rsidRPr="00B34C40">
        <w:rPr>
          <w:rFonts w:asciiTheme="majorBidi" w:hAnsiTheme="majorBidi" w:cstheme="majorBidi"/>
          <w:sz w:val="24"/>
          <w:szCs w:val="24"/>
        </w:rPr>
        <w:t xml:space="preserve">de </w:t>
      </w:r>
      <w:r w:rsidRPr="00B34C40">
        <w:rPr>
          <w:rFonts w:asciiTheme="majorBidi" w:hAnsiTheme="majorBidi" w:cstheme="majorBidi"/>
          <w:sz w:val="24"/>
          <w:szCs w:val="24"/>
        </w:rPr>
        <w:t>s’ouvrir à l’international</w:t>
      </w:r>
      <w:r w:rsidR="00314AD9" w:rsidRPr="00B34C40">
        <w:rPr>
          <w:rFonts w:asciiTheme="majorBidi" w:hAnsiTheme="majorBidi" w:cstheme="majorBidi"/>
          <w:sz w:val="24"/>
          <w:szCs w:val="24"/>
        </w:rPr>
        <w:t xml:space="preserve">. Son succès ne se </w:t>
      </w:r>
      <w:r w:rsidRPr="00B34C40">
        <w:rPr>
          <w:rFonts w:asciiTheme="majorBidi" w:hAnsiTheme="majorBidi" w:cstheme="majorBidi"/>
          <w:sz w:val="24"/>
          <w:szCs w:val="24"/>
        </w:rPr>
        <w:t xml:space="preserve">limite pas </w:t>
      </w:r>
      <w:r w:rsidR="00314AD9" w:rsidRPr="00B34C40">
        <w:rPr>
          <w:rFonts w:asciiTheme="majorBidi" w:hAnsiTheme="majorBidi" w:cstheme="majorBidi"/>
          <w:sz w:val="24"/>
          <w:szCs w:val="24"/>
        </w:rPr>
        <w:t xml:space="preserve">au nombre de participants, mais </w:t>
      </w:r>
      <w:r w:rsidR="00A06692">
        <w:rPr>
          <w:rFonts w:asciiTheme="majorBidi" w:hAnsiTheme="majorBidi" w:cstheme="majorBidi"/>
          <w:sz w:val="24"/>
          <w:szCs w:val="24"/>
        </w:rPr>
        <w:t>englobe aussi</w:t>
      </w:r>
      <w:r w:rsidR="00314AD9" w:rsidRPr="00B34C40">
        <w:rPr>
          <w:rFonts w:asciiTheme="majorBidi" w:hAnsiTheme="majorBidi" w:cstheme="majorBidi"/>
          <w:sz w:val="24"/>
          <w:szCs w:val="24"/>
        </w:rPr>
        <w:t xml:space="preserve"> son rôle dans l'émergence d'un </w:t>
      </w:r>
      <w:r w:rsidR="00A06692">
        <w:rPr>
          <w:rFonts w:asciiTheme="majorBidi" w:hAnsiTheme="majorBidi" w:cstheme="majorBidi"/>
          <w:sz w:val="24"/>
          <w:szCs w:val="24"/>
        </w:rPr>
        <w:t>e</w:t>
      </w:r>
      <w:r w:rsidR="00314AD9" w:rsidRPr="00B34C40">
        <w:rPr>
          <w:rFonts w:asciiTheme="majorBidi" w:hAnsiTheme="majorBidi" w:cstheme="majorBidi"/>
          <w:sz w:val="24"/>
          <w:szCs w:val="24"/>
        </w:rPr>
        <w:t xml:space="preserve">space européen de l'enseignement supérieur </w:t>
      </w:r>
      <w:r w:rsidRPr="00B34C40">
        <w:rPr>
          <w:rFonts w:asciiTheme="majorBidi" w:hAnsiTheme="majorBidi" w:cstheme="majorBidi"/>
          <w:sz w:val="24"/>
          <w:szCs w:val="24"/>
        </w:rPr>
        <w:t xml:space="preserve">à la fois </w:t>
      </w:r>
      <w:r w:rsidR="00314AD9" w:rsidRPr="00B34C40">
        <w:rPr>
          <w:rFonts w:asciiTheme="majorBidi" w:hAnsiTheme="majorBidi" w:cstheme="majorBidi"/>
          <w:sz w:val="24"/>
          <w:szCs w:val="24"/>
        </w:rPr>
        <w:t xml:space="preserve">harmonisé et plus qualitatif (European Commission, 2014). </w:t>
      </w:r>
      <w:r w:rsidRPr="00B34C40">
        <w:rPr>
          <w:rFonts w:asciiTheme="majorBidi" w:hAnsiTheme="majorBidi" w:cstheme="majorBidi"/>
          <w:sz w:val="24"/>
          <w:szCs w:val="24"/>
        </w:rPr>
        <w:t>Erasmus</w:t>
      </w:r>
      <w:r>
        <w:rPr>
          <w:rFonts w:asciiTheme="majorBidi" w:hAnsiTheme="majorBidi" w:cstheme="majorBidi"/>
          <w:sz w:val="24"/>
          <w:szCs w:val="24"/>
        </w:rPr>
        <w:t xml:space="preserve">, comme </w:t>
      </w:r>
      <w:r w:rsidR="00314AD9" w:rsidRPr="00314AD9">
        <w:rPr>
          <w:rFonts w:asciiTheme="majorBidi" w:hAnsiTheme="majorBidi" w:cstheme="majorBidi"/>
          <w:sz w:val="24"/>
          <w:szCs w:val="24"/>
        </w:rPr>
        <w:t xml:space="preserve">pionnier des programmes d'échange à grande échelle, est un </w:t>
      </w:r>
      <w:r>
        <w:rPr>
          <w:rFonts w:asciiTheme="majorBidi" w:hAnsiTheme="majorBidi" w:cstheme="majorBidi"/>
          <w:sz w:val="24"/>
          <w:szCs w:val="24"/>
        </w:rPr>
        <w:t>terrain</w:t>
      </w:r>
      <w:r w:rsidR="00314AD9" w:rsidRPr="00314AD9">
        <w:rPr>
          <w:rFonts w:asciiTheme="majorBidi" w:hAnsiTheme="majorBidi" w:cstheme="majorBidi"/>
          <w:sz w:val="24"/>
          <w:szCs w:val="24"/>
        </w:rPr>
        <w:t xml:space="preserve"> idéal pour examiner comment la mobilité </w:t>
      </w:r>
      <w:r w:rsidR="00A06692">
        <w:rPr>
          <w:rFonts w:asciiTheme="majorBidi" w:hAnsiTheme="majorBidi" w:cstheme="majorBidi"/>
          <w:sz w:val="24"/>
          <w:szCs w:val="24"/>
        </w:rPr>
        <w:t>des étudiants</w:t>
      </w:r>
      <w:r w:rsidRPr="00314AD9">
        <w:rPr>
          <w:rFonts w:asciiTheme="majorBidi" w:hAnsiTheme="majorBidi" w:cstheme="majorBidi"/>
          <w:sz w:val="24"/>
          <w:szCs w:val="24"/>
        </w:rPr>
        <w:t>contribuer-</w:t>
      </w:r>
      <w:r>
        <w:rPr>
          <w:rFonts w:asciiTheme="majorBidi" w:hAnsiTheme="majorBidi" w:cstheme="majorBidi"/>
          <w:sz w:val="24"/>
          <w:szCs w:val="24"/>
        </w:rPr>
        <w:t>t-elle à l'assurance de la qualité de l’enseignement supérieur.</w:t>
      </w:r>
    </w:p>
    <w:p w:rsidR="00C73C9A" w:rsidRPr="004B5B89" w:rsidRDefault="004B5B89" w:rsidP="004B5B89">
      <w:pPr>
        <w:pStyle w:val="Paragraphedeliste"/>
        <w:numPr>
          <w:ilvl w:val="1"/>
          <w:numId w:val="1"/>
        </w:numPr>
        <w:spacing w:line="276" w:lineRule="auto"/>
        <w:ind w:left="426"/>
        <w:jc w:val="both"/>
        <w:rPr>
          <w:rFonts w:asciiTheme="majorBidi" w:hAnsiTheme="majorBidi" w:cstheme="majorBidi"/>
          <w:sz w:val="24"/>
          <w:szCs w:val="24"/>
        </w:rPr>
      </w:pPr>
      <w:r w:rsidRPr="004B5B89">
        <w:rPr>
          <w:rFonts w:asciiTheme="majorBidi" w:hAnsiTheme="majorBidi" w:cstheme="majorBidi"/>
          <w:sz w:val="24"/>
          <w:szCs w:val="24"/>
        </w:rPr>
        <w:t>Couverture du programme</w:t>
      </w:r>
    </w:p>
    <w:p w:rsidR="000D025B" w:rsidRPr="004B5B89" w:rsidRDefault="000D025B" w:rsidP="00E53CBA">
      <w:pPr>
        <w:spacing w:line="276" w:lineRule="auto"/>
        <w:ind w:firstLine="284"/>
        <w:jc w:val="both"/>
        <w:rPr>
          <w:rFonts w:asciiTheme="majorBidi" w:hAnsiTheme="majorBidi" w:cstheme="majorBidi"/>
          <w:sz w:val="24"/>
          <w:szCs w:val="24"/>
        </w:rPr>
      </w:pPr>
      <w:r w:rsidRPr="004B5B89">
        <w:rPr>
          <w:rFonts w:asciiTheme="majorBidi" w:hAnsiTheme="majorBidi" w:cstheme="majorBidi"/>
          <w:sz w:val="24"/>
          <w:szCs w:val="24"/>
        </w:rPr>
        <w:t xml:space="preserve">Sur le plan institutionnel, </w:t>
      </w:r>
      <w:r w:rsidR="005E595F">
        <w:rPr>
          <w:rFonts w:asciiTheme="majorBidi" w:hAnsiTheme="majorBidi" w:cstheme="majorBidi"/>
          <w:sz w:val="24"/>
          <w:szCs w:val="24"/>
        </w:rPr>
        <w:t xml:space="preserve">le programme </w:t>
      </w:r>
      <w:r w:rsidRPr="004B5B89">
        <w:rPr>
          <w:rFonts w:asciiTheme="majorBidi" w:hAnsiTheme="majorBidi" w:cstheme="majorBidi"/>
          <w:sz w:val="24"/>
          <w:szCs w:val="24"/>
        </w:rPr>
        <w:t>Erasmusfacilite la mise en œuvre de partenaria</w:t>
      </w:r>
      <w:r w:rsidR="004B5B89" w:rsidRPr="004B5B89">
        <w:rPr>
          <w:rFonts w:asciiTheme="majorBidi" w:hAnsiTheme="majorBidi" w:cstheme="majorBidi"/>
          <w:sz w:val="24"/>
          <w:szCs w:val="24"/>
        </w:rPr>
        <w:t xml:space="preserve">ts stratégiques transnationaux </w:t>
      </w:r>
      <w:r w:rsidRPr="004B5B89">
        <w:rPr>
          <w:rFonts w:asciiTheme="majorBidi" w:hAnsiTheme="majorBidi" w:cstheme="majorBidi"/>
          <w:sz w:val="24"/>
          <w:szCs w:val="24"/>
        </w:rPr>
        <w:t xml:space="preserve">dans les secteurs de l'enseignement </w:t>
      </w:r>
      <w:r w:rsidR="004B5B89" w:rsidRPr="004B5B89">
        <w:rPr>
          <w:rFonts w:asciiTheme="majorBidi" w:hAnsiTheme="majorBidi" w:cstheme="majorBidi"/>
          <w:sz w:val="24"/>
          <w:szCs w:val="24"/>
        </w:rPr>
        <w:t>et la formation</w:t>
      </w:r>
      <w:r w:rsidRPr="004B5B89">
        <w:rPr>
          <w:rFonts w:asciiTheme="majorBidi" w:hAnsiTheme="majorBidi" w:cstheme="majorBidi"/>
          <w:sz w:val="24"/>
          <w:szCs w:val="24"/>
        </w:rPr>
        <w:t>. L</w:t>
      </w:r>
      <w:r w:rsidR="00002A38">
        <w:rPr>
          <w:rFonts w:asciiTheme="majorBidi" w:hAnsiTheme="majorBidi" w:cstheme="majorBidi"/>
          <w:sz w:val="24"/>
          <w:szCs w:val="24"/>
        </w:rPr>
        <w:t>e programme intègre par ailleurs</w:t>
      </w:r>
      <w:r w:rsidRPr="004B5B89">
        <w:rPr>
          <w:rFonts w:asciiTheme="majorBidi" w:hAnsiTheme="majorBidi" w:cstheme="majorBidi"/>
          <w:sz w:val="24"/>
          <w:szCs w:val="24"/>
        </w:rPr>
        <w:t xml:space="preserve"> une dimension internationale élargie, qui se traduit par </w:t>
      </w:r>
      <w:r w:rsidR="004B5B89" w:rsidRPr="004B5B89">
        <w:rPr>
          <w:rFonts w:asciiTheme="majorBidi" w:hAnsiTheme="majorBidi" w:cstheme="majorBidi"/>
          <w:sz w:val="24"/>
          <w:szCs w:val="24"/>
        </w:rPr>
        <w:t>l</w:t>
      </w:r>
      <w:r w:rsidRPr="004B5B89">
        <w:rPr>
          <w:rFonts w:asciiTheme="majorBidi" w:hAnsiTheme="majorBidi" w:cstheme="majorBidi"/>
          <w:sz w:val="24"/>
          <w:szCs w:val="24"/>
        </w:rPr>
        <w:t xml:space="preserve">e renforcement de la </w:t>
      </w:r>
      <w:r w:rsidR="004B5B89" w:rsidRPr="004B5B89">
        <w:rPr>
          <w:rFonts w:asciiTheme="majorBidi" w:hAnsiTheme="majorBidi" w:cstheme="majorBidi"/>
          <w:sz w:val="24"/>
          <w:szCs w:val="24"/>
        </w:rPr>
        <w:t xml:space="preserve">coopération interuniversitaire et </w:t>
      </w:r>
      <w:r w:rsidRPr="004B5B89">
        <w:rPr>
          <w:rFonts w:asciiTheme="majorBidi" w:hAnsiTheme="majorBidi" w:cstheme="majorBidi"/>
          <w:sz w:val="24"/>
          <w:szCs w:val="24"/>
        </w:rPr>
        <w:t>la promotion de la mobilité académique et profes</w:t>
      </w:r>
      <w:r w:rsidR="004B5B89" w:rsidRPr="004B5B89">
        <w:rPr>
          <w:rFonts w:asciiTheme="majorBidi" w:hAnsiTheme="majorBidi" w:cstheme="majorBidi"/>
          <w:sz w:val="24"/>
          <w:szCs w:val="24"/>
        </w:rPr>
        <w:t>sionnelle à l'échelle mondiale.</w:t>
      </w:r>
    </w:p>
    <w:p w:rsidR="00F81773" w:rsidRPr="00C52F4B" w:rsidRDefault="000D025B" w:rsidP="00E31EB9">
      <w:pPr>
        <w:spacing w:line="276" w:lineRule="auto"/>
        <w:ind w:firstLine="284"/>
        <w:jc w:val="both"/>
        <w:rPr>
          <w:rFonts w:asciiTheme="majorBidi" w:hAnsiTheme="majorBidi" w:cstheme="majorBidi"/>
          <w:sz w:val="24"/>
          <w:szCs w:val="24"/>
        </w:rPr>
      </w:pPr>
      <w:r w:rsidRPr="001D6E94">
        <w:rPr>
          <w:rFonts w:asciiTheme="majorBidi" w:hAnsiTheme="majorBidi" w:cstheme="majorBidi"/>
          <w:sz w:val="24"/>
          <w:szCs w:val="24"/>
        </w:rPr>
        <w:t>Cette approche multidimensionnelle</w:t>
      </w:r>
      <w:r w:rsidR="00002A38">
        <w:rPr>
          <w:rFonts w:asciiTheme="majorBidi" w:hAnsiTheme="majorBidi" w:cstheme="majorBidi"/>
          <w:sz w:val="24"/>
          <w:szCs w:val="24"/>
        </w:rPr>
        <w:t>,</w:t>
      </w:r>
      <w:r w:rsidRPr="001D6E94">
        <w:rPr>
          <w:rFonts w:asciiTheme="majorBidi" w:hAnsiTheme="majorBidi" w:cstheme="majorBidi"/>
          <w:sz w:val="24"/>
          <w:szCs w:val="24"/>
        </w:rPr>
        <w:t xml:space="preserve"> positionne Erasmus comme un levier essentiel de l'espace européen de l'éducation, tout en contribuant aux </w:t>
      </w:r>
      <w:r w:rsidR="001D6E94" w:rsidRPr="001D6E94">
        <w:rPr>
          <w:rFonts w:asciiTheme="majorBidi" w:hAnsiTheme="majorBidi" w:cstheme="majorBidi"/>
          <w:sz w:val="24"/>
          <w:szCs w:val="24"/>
        </w:rPr>
        <w:t>o</w:t>
      </w:r>
      <w:r w:rsidRPr="001D6E94">
        <w:rPr>
          <w:rFonts w:asciiTheme="majorBidi" w:hAnsiTheme="majorBidi" w:cstheme="majorBidi"/>
          <w:sz w:val="24"/>
          <w:szCs w:val="24"/>
        </w:rPr>
        <w:t xml:space="preserve">bjectifs des </w:t>
      </w:r>
      <w:r w:rsidR="001D6E94" w:rsidRPr="001D6E94">
        <w:rPr>
          <w:rFonts w:asciiTheme="majorBidi" w:hAnsiTheme="majorBidi" w:cstheme="majorBidi"/>
          <w:sz w:val="24"/>
          <w:szCs w:val="24"/>
        </w:rPr>
        <w:t>n</w:t>
      </w:r>
      <w:r w:rsidRPr="001D6E94">
        <w:rPr>
          <w:rFonts w:asciiTheme="majorBidi" w:hAnsiTheme="majorBidi" w:cstheme="majorBidi"/>
          <w:sz w:val="24"/>
          <w:szCs w:val="24"/>
        </w:rPr>
        <w:t xml:space="preserve">ations </w:t>
      </w:r>
      <w:r w:rsidR="001D6E94" w:rsidRPr="001D6E94">
        <w:rPr>
          <w:rFonts w:asciiTheme="majorBidi" w:hAnsiTheme="majorBidi" w:cstheme="majorBidi"/>
          <w:sz w:val="24"/>
          <w:szCs w:val="24"/>
        </w:rPr>
        <w:t>u</w:t>
      </w:r>
      <w:r w:rsidRPr="001D6E94">
        <w:rPr>
          <w:rFonts w:asciiTheme="majorBidi" w:hAnsiTheme="majorBidi" w:cstheme="majorBidi"/>
          <w:sz w:val="24"/>
          <w:szCs w:val="24"/>
        </w:rPr>
        <w:t>nies en matière d'accès à une éducation de qualité.</w:t>
      </w:r>
      <w:r w:rsidR="00E94AB8" w:rsidRPr="00C52F4B">
        <w:rPr>
          <w:rFonts w:asciiTheme="majorBidi" w:hAnsiTheme="majorBidi" w:cstheme="majorBidi"/>
          <w:sz w:val="24"/>
          <w:szCs w:val="24"/>
        </w:rPr>
        <w:t>Selo</w:t>
      </w:r>
      <w:r w:rsidR="00C52F4B" w:rsidRPr="00C52F4B">
        <w:rPr>
          <w:rFonts w:asciiTheme="majorBidi" w:hAnsiTheme="majorBidi" w:cstheme="majorBidi"/>
          <w:sz w:val="24"/>
          <w:szCs w:val="24"/>
        </w:rPr>
        <w:t>n le site officiel du programme</w:t>
      </w:r>
      <w:r w:rsidR="00002A38" w:rsidRPr="005B7B14">
        <w:rPr>
          <w:rFonts w:asciiTheme="majorBidi" w:hAnsiTheme="majorBidi" w:cstheme="majorBidi"/>
          <w:b/>
          <w:bCs/>
          <w:sz w:val="24"/>
          <w:szCs w:val="24"/>
        </w:rPr>
        <w:t>,</w:t>
      </w:r>
      <w:r w:rsidR="00C52F4B" w:rsidRPr="00C52F4B">
        <w:rPr>
          <w:rFonts w:asciiTheme="majorBidi" w:hAnsiTheme="majorBidi" w:cstheme="majorBidi"/>
          <w:sz w:val="24"/>
          <w:szCs w:val="24"/>
        </w:rPr>
        <w:t xml:space="preserve"> l</w:t>
      </w:r>
      <w:r w:rsidR="00F81773" w:rsidRPr="00C52F4B">
        <w:rPr>
          <w:rFonts w:asciiTheme="majorBidi" w:hAnsiTheme="majorBidi" w:cstheme="majorBidi"/>
          <w:sz w:val="24"/>
          <w:szCs w:val="24"/>
        </w:rPr>
        <w:t>es parti</w:t>
      </w:r>
      <w:r w:rsidR="00606BCE" w:rsidRPr="00C52F4B">
        <w:rPr>
          <w:rFonts w:asciiTheme="majorBidi" w:hAnsiTheme="majorBidi" w:cstheme="majorBidi"/>
          <w:sz w:val="24"/>
          <w:szCs w:val="24"/>
        </w:rPr>
        <w:t>ci</w:t>
      </w:r>
      <w:r w:rsidR="00F81773" w:rsidRPr="00C52F4B">
        <w:rPr>
          <w:rFonts w:asciiTheme="majorBidi" w:hAnsiTheme="majorBidi" w:cstheme="majorBidi"/>
          <w:sz w:val="24"/>
          <w:szCs w:val="24"/>
        </w:rPr>
        <w:t>pant</w:t>
      </w:r>
      <w:r w:rsidR="00606BCE" w:rsidRPr="00C52F4B">
        <w:rPr>
          <w:rFonts w:asciiTheme="majorBidi" w:hAnsiTheme="majorBidi" w:cstheme="majorBidi"/>
          <w:sz w:val="24"/>
          <w:szCs w:val="24"/>
        </w:rPr>
        <w:t>s</w:t>
      </w:r>
      <w:r w:rsidR="00F81773" w:rsidRPr="00C52F4B">
        <w:rPr>
          <w:rFonts w:asciiTheme="majorBidi" w:hAnsiTheme="majorBidi" w:cstheme="majorBidi"/>
          <w:sz w:val="24"/>
          <w:szCs w:val="24"/>
        </w:rPr>
        <w:t xml:space="preserve"> du programme </w:t>
      </w:r>
      <w:r w:rsidR="00606BCE" w:rsidRPr="00C52F4B">
        <w:rPr>
          <w:rFonts w:asciiTheme="majorBidi" w:hAnsiTheme="majorBidi" w:cstheme="majorBidi"/>
          <w:sz w:val="24"/>
          <w:szCs w:val="24"/>
        </w:rPr>
        <w:t>Erasmus</w:t>
      </w:r>
      <w:r w:rsidR="00F81773" w:rsidRPr="00C52F4B">
        <w:rPr>
          <w:rFonts w:asciiTheme="majorBidi" w:hAnsiTheme="majorBidi" w:cstheme="majorBidi"/>
          <w:sz w:val="24"/>
          <w:szCs w:val="24"/>
        </w:rPr>
        <w:t xml:space="preserve"> se divisent </w:t>
      </w:r>
      <w:r w:rsidR="00002A38">
        <w:rPr>
          <w:rFonts w:asciiTheme="majorBidi" w:hAnsiTheme="majorBidi" w:cstheme="majorBidi"/>
          <w:sz w:val="24"/>
          <w:szCs w:val="24"/>
        </w:rPr>
        <w:t>en</w:t>
      </w:r>
      <w:r w:rsidR="00F81773" w:rsidRPr="00C52F4B">
        <w:rPr>
          <w:rFonts w:asciiTheme="majorBidi" w:hAnsiTheme="majorBidi" w:cstheme="majorBidi"/>
          <w:sz w:val="24"/>
          <w:szCs w:val="24"/>
        </w:rPr>
        <w:t xml:space="preserve"> trois </w:t>
      </w:r>
      <w:r w:rsidR="003C53D6" w:rsidRPr="00E31EB9">
        <w:rPr>
          <w:rFonts w:asciiTheme="majorBidi" w:hAnsiTheme="majorBidi" w:cstheme="majorBidi"/>
          <w:sz w:val="24"/>
          <w:szCs w:val="24"/>
        </w:rPr>
        <w:t xml:space="preserve">catégories </w:t>
      </w:r>
      <w:r w:rsidR="00E52B9C" w:rsidRPr="00E31EB9">
        <w:rPr>
          <w:rFonts w:asciiTheme="majorBidi" w:hAnsiTheme="majorBidi" w:cstheme="majorBidi"/>
          <w:sz w:val="24"/>
          <w:szCs w:val="24"/>
        </w:rPr>
        <w:t>(</w:t>
      </w:r>
      <w:r w:rsidR="00E31EB9" w:rsidRPr="00E31EB9">
        <w:rPr>
          <w:rFonts w:asciiTheme="majorBidi" w:hAnsiTheme="majorBidi" w:cstheme="majorBidi"/>
          <w:sz w:val="24"/>
          <w:szCs w:val="24"/>
        </w:rPr>
        <w:t>E</w:t>
      </w:r>
      <w:r w:rsidR="00E52B9C" w:rsidRPr="00E31EB9">
        <w:rPr>
          <w:rFonts w:asciiTheme="majorBidi" w:hAnsiTheme="majorBidi" w:cstheme="majorBidi"/>
          <w:sz w:val="24"/>
          <w:szCs w:val="24"/>
        </w:rPr>
        <w:t>rasmus-plus, 2025</w:t>
      </w:r>
      <w:r w:rsidR="00032A86" w:rsidRPr="00E31EB9">
        <w:rPr>
          <w:rFonts w:asciiTheme="majorBidi" w:hAnsiTheme="majorBidi" w:cstheme="majorBidi"/>
          <w:sz w:val="24"/>
          <w:szCs w:val="24"/>
        </w:rPr>
        <w:t>) :</w:t>
      </w:r>
    </w:p>
    <w:p w:rsidR="00CE7C51" w:rsidRPr="006F788F" w:rsidRDefault="00F81773" w:rsidP="00CE7C51">
      <w:pPr>
        <w:pStyle w:val="Paragraphedeliste"/>
        <w:numPr>
          <w:ilvl w:val="0"/>
          <w:numId w:val="7"/>
        </w:numPr>
        <w:spacing w:line="276" w:lineRule="auto"/>
        <w:jc w:val="both"/>
        <w:rPr>
          <w:rFonts w:asciiTheme="majorBidi" w:hAnsiTheme="majorBidi" w:cstheme="majorBidi"/>
          <w:sz w:val="24"/>
          <w:szCs w:val="24"/>
        </w:rPr>
      </w:pPr>
      <w:r w:rsidRPr="006F788F">
        <w:rPr>
          <w:rFonts w:asciiTheme="majorBidi" w:hAnsiTheme="majorBidi" w:cstheme="majorBidi"/>
          <w:sz w:val="24"/>
          <w:szCs w:val="24"/>
        </w:rPr>
        <w:t>États membres de l’Union européenne :</w:t>
      </w:r>
      <w:bookmarkStart w:id="1" w:name="_GoBack"/>
      <w:bookmarkEnd w:id="1"/>
    </w:p>
    <w:p w:rsidR="00F81773" w:rsidRPr="006F788F" w:rsidRDefault="00F81773" w:rsidP="00E94AB8">
      <w:pPr>
        <w:pStyle w:val="a"/>
      </w:pPr>
      <w:r w:rsidRPr="006F788F">
        <w:t>Belgique, Bulgarie, Tchéquie, Danemark, Allemagne, Estonie, Irlande, Grèce, Espagne, France, Croatie, Italie, Chypre, Lettonie, Lituanie, Luxembourg, Hongrie, Malte, Pays-Bas, Autriche, Pologne, Portugal, Roumanie, Slovénie, Slovaquie, Finlande, Suède.</w:t>
      </w:r>
    </w:p>
    <w:p w:rsidR="00F81773" w:rsidRPr="006F788F" w:rsidRDefault="00F81773" w:rsidP="00F81773">
      <w:pPr>
        <w:pStyle w:val="Paragraphedeliste"/>
        <w:numPr>
          <w:ilvl w:val="0"/>
          <w:numId w:val="7"/>
        </w:numPr>
        <w:spacing w:line="276" w:lineRule="auto"/>
        <w:jc w:val="both"/>
        <w:rPr>
          <w:rFonts w:asciiTheme="majorBidi" w:hAnsiTheme="majorBidi" w:cstheme="majorBidi"/>
          <w:sz w:val="24"/>
          <w:szCs w:val="24"/>
        </w:rPr>
      </w:pPr>
      <w:r w:rsidRPr="006F788F">
        <w:rPr>
          <w:rFonts w:asciiTheme="majorBidi" w:hAnsiTheme="majorBidi" w:cstheme="majorBidi"/>
          <w:sz w:val="24"/>
          <w:szCs w:val="24"/>
        </w:rPr>
        <w:t>Pays tiers associés au programme :</w:t>
      </w:r>
    </w:p>
    <w:p w:rsidR="00F81773" w:rsidRPr="006F788F" w:rsidRDefault="00F81773" w:rsidP="00E94AB8">
      <w:pPr>
        <w:pStyle w:val="a"/>
      </w:pPr>
      <w:r w:rsidRPr="006F788F">
        <w:t>Macédoine du Nord, Serbie, Islande, Liechtenstein, Norvège, Turquie.</w:t>
      </w:r>
    </w:p>
    <w:p w:rsidR="00F81773" w:rsidRPr="006F788F" w:rsidRDefault="00F81773" w:rsidP="00F81773">
      <w:pPr>
        <w:pStyle w:val="Paragraphedeliste"/>
        <w:numPr>
          <w:ilvl w:val="0"/>
          <w:numId w:val="7"/>
        </w:numPr>
        <w:spacing w:line="276" w:lineRule="auto"/>
        <w:rPr>
          <w:rFonts w:asciiTheme="majorBidi" w:hAnsiTheme="majorBidi" w:cstheme="majorBidi"/>
          <w:sz w:val="24"/>
          <w:szCs w:val="24"/>
        </w:rPr>
      </w:pPr>
      <w:r w:rsidRPr="006F788F">
        <w:rPr>
          <w:rFonts w:asciiTheme="majorBidi" w:hAnsiTheme="majorBidi" w:cstheme="majorBidi"/>
          <w:sz w:val="24"/>
          <w:szCs w:val="24"/>
        </w:rPr>
        <w:t>Pays tiers non associés au Programme :</w:t>
      </w:r>
    </w:p>
    <w:p w:rsidR="00F81773" w:rsidRPr="00231BDA" w:rsidRDefault="00F81773" w:rsidP="005C3B8A">
      <w:pPr>
        <w:pStyle w:val="a"/>
      </w:pPr>
      <w:r w:rsidRPr="006F788F">
        <w:t xml:space="preserve">Les pays suivants peuvent participer à certaines actions du programme, sous réserve de </w:t>
      </w:r>
      <w:r w:rsidRPr="00231BDA">
        <w:t>critères</w:t>
      </w:r>
      <w:r w:rsidR="006F788F" w:rsidRPr="00231BDA">
        <w:t xml:space="preserve"> et conditions</w:t>
      </w:r>
      <w:r w:rsidRPr="00231BDA">
        <w:t xml:space="preserve"> particuliers. </w:t>
      </w:r>
      <w:r w:rsidR="005C3B8A" w:rsidRPr="00231BDA">
        <w:t>Parmi les pays de cette catégorie nous pouvons citer :</w:t>
      </w:r>
    </w:p>
    <w:p w:rsidR="00F81773" w:rsidRPr="00231BDA" w:rsidRDefault="006F788F" w:rsidP="00C72D2C">
      <w:pPr>
        <w:pStyle w:val="a"/>
        <w:numPr>
          <w:ilvl w:val="0"/>
          <w:numId w:val="9"/>
        </w:numPr>
        <w:ind w:left="567"/>
        <w:rPr>
          <w:szCs w:val="24"/>
        </w:rPr>
      </w:pPr>
      <w:r w:rsidRPr="00231BDA">
        <w:lastRenderedPageBreak/>
        <w:t xml:space="preserve">Région 1 : </w:t>
      </w:r>
      <w:r w:rsidR="00F81773" w:rsidRPr="00231BDA">
        <w:t>Albanie, Bosnie-Herzégovine, Kosovo, Monténégro</w:t>
      </w:r>
      <w:r w:rsidR="00E94AB8" w:rsidRPr="00231BDA">
        <w:t>.</w:t>
      </w:r>
    </w:p>
    <w:p w:rsidR="006F788F" w:rsidRDefault="006F788F" w:rsidP="00C72D2C">
      <w:pPr>
        <w:pStyle w:val="a"/>
        <w:numPr>
          <w:ilvl w:val="0"/>
          <w:numId w:val="9"/>
        </w:numPr>
        <w:ind w:left="567"/>
      </w:pPr>
      <w:r w:rsidRPr="00231BDA">
        <w:t xml:space="preserve">Région 2 : </w:t>
      </w:r>
      <w:r w:rsidR="00F81773" w:rsidRPr="00231BDA">
        <w:t>Arménie, Azerbaïdjan, Biélorussie, Géorgie, Moldavie, territoire de l’Ukraine tel que reconnu par le droit</w:t>
      </w:r>
      <w:r w:rsidR="00F81773" w:rsidRPr="006F788F">
        <w:t xml:space="preserve"> international</w:t>
      </w:r>
      <w:r w:rsidR="00E94AB8" w:rsidRPr="006F788F">
        <w:t>.</w:t>
      </w:r>
    </w:p>
    <w:p w:rsidR="008408FF" w:rsidRDefault="00BC4EF6" w:rsidP="00C72D2C">
      <w:pPr>
        <w:pStyle w:val="a"/>
        <w:numPr>
          <w:ilvl w:val="0"/>
          <w:numId w:val="9"/>
        </w:numPr>
        <w:ind w:left="567"/>
      </w:pPr>
      <w:r w:rsidRPr="008408FF">
        <w:t>Région</w:t>
      </w:r>
      <w:r w:rsidR="006F788F" w:rsidRPr="008408FF">
        <w:t xml:space="preserve"> 3</w:t>
      </w:r>
      <w:r w:rsidR="008408FF" w:rsidRPr="008408FF">
        <w:t xml:space="preserve"> : </w:t>
      </w:r>
      <w:r w:rsidR="00F81773" w:rsidRPr="008408FF">
        <w:t>Algérie, Égypte, Jordanie, Liban, Libye, Maroc, Palestine, Syrie, Tunisie</w:t>
      </w:r>
      <w:r w:rsidR="00E94AB8" w:rsidRPr="008408FF">
        <w:t>.</w:t>
      </w:r>
    </w:p>
    <w:p w:rsidR="00F81773" w:rsidRPr="008408FF" w:rsidRDefault="008408FF" w:rsidP="00C72D2C">
      <w:pPr>
        <w:pStyle w:val="a"/>
        <w:numPr>
          <w:ilvl w:val="0"/>
          <w:numId w:val="9"/>
        </w:numPr>
        <w:ind w:left="567"/>
      </w:pPr>
      <w:r w:rsidRPr="008408FF">
        <w:rPr>
          <w:szCs w:val="24"/>
        </w:rPr>
        <w:t>Région 4 :</w:t>
      </w:r>
      <w:r w:rsidR="00F81773" w:rsidRPr="008408FF">
        <w:t>Territoire de la Russie tel que reconnu par le droit international</w:t>
      </w:r>
      <w:r w:rsidR="00BC4EF6">
        <w:t>.</w:t>
      </w:r>
    </w:p>
    <w:p w:rsidR="00F81773" w:rsidRPr="00231BDA" w:rsidRDefault="00F81773" w:rsidP="00C72D2C">
      <w:pPr>
        <w:pStyle w:val="a"/>
        <w:numPr>
          <w:ilvl w:val="0"/>
          <w:numId w:val="9"/>
        </w:numPr>
        <w:ind w:left="567"/>
        <w:rPr>
          <w:szCs w:val="24"/>
        </w:rPr>
      </w:pPr>
      <w:r w:rsidRPr="00231BDA">
        <w:rPr>
          <w:szCs w:val="24"/>
        </w:rPr>
        <w:t>Région 5</w:t>
      </w:r>
      <w:r w:rsidR="008408FF" w:rsidRPr="00231BDA">
        <w:rPr>
          <w:szCs w:val="24"/>
        </w:rPr>
        <w:t xml:space="preserve"> : </w:t>
      </w:r>
      <w:r w:rsidRPr="00231BDA">
        <w:rPr>
          <w:szCs w:val="24"/>
        </w:rPr>
        <w:t>Bangladesh, Bhoutan, Cambodge, Chine, République populaire démocratique de Corée, Inde, Indonésie, Laos, Malaisie, Maldives, Mongolie, Myanmar, Népal, Pakistan, Philippines, Sri Lanka, Thaïlande et Viêt Nam</w:t>
      </w:r>
      <w:r w:rsidR="00E94AB8" w:rsidRPr="00231BDA">
        <w:rPr>
          <w:szCs w:val="24"/>
        </w:rPr>
        <w:t xml:space="preserve">. Et aussi les </w:t>
      </w:r>
      <w:r w:rsidRPr="00231BDA">
        <w:rPr>
          <w:szCs w:val="24"/>
        </w:rPr>
        <w:t>Pays et territoires à revenu élevé</w:t>
      </w:r>
      <w:r w:rsidR="00E94AB8" w:rsidRPr="00231BDA">
        <w:rPr>
          <w:szCs w:val="24"/>
        </w:rPr>
        <w:t xml:space="preserve"> tel que le Brunei</w:t>
      </w:r>
      <w:r w:rsidRPr="00231BDA">
        <w:rPr>
          <w:szCs w:val="24"/>
        </w:rPr>
        <w:t>, République de Corée, Hong Kong, Japon, Macao, Singapour et Taïwan</w:t>
      </w:r>
      <w:r w:rsidR="00BC4EF6" w:rsidRPr="00231BDA">
        <w:rPr>
          <w:szCs w:val="24"/>
        </w:rPr>
        <w:t>.</w:t>
      </w:r>
    </w:p>
    <w:p w:rsidR="00F81773" w:rsidRPr="00231BDA" w:rsidRDefault="00BC4EF6" w:rsidP="00C72D2C">
      <w:pPr>
        <w:pStyle w:val="a"/>
        <w:numPr>
          <w:ilvl w:val="0"/>
          <w:numId w:val="9"/>
        </w:numPr>
        <w:ind w:left="567"/>
        <w:rPr>
          <w:szCs w:val="24"/>
        </w:rPr>
      </w:pPr>
      <w:r w:rsidRPr="00231BDA">
        <w:rPr>
          <w:szCs w:val="24"/>
        </w:rPr>
        <w:t xml:space="preserve">Région 6 : </w:t>
      </w:r>
      <w:r w:rsidR="00F81773" w:rsidRPr="00231BDA">
        <w:rPr>
          <w:szCs w:val="24"/>
        </w:rPr>
        <w:t>Afghanistan, Kazakhstan, Kirghizstan, Ouzbékistan, Tadjikistan, Turkménistan</w:t>
      </w:r>
      <w:r w:rsidRPr="00231BDA">
        <w:rPr>
          <w:szCs w:val="24"/>
        </w:rPr>
        <w:t>.</w:t>
      </w:r>
    </w:p>
    <w:p w:rsidR="00F81773" w:rsidRPr="00231BDA" w:rsidRDefault="00F81773" w:rsidP="00C72D2C">
      <w:pPr>
        <w:pStyle w:val="a"/>
        <w:numPr>
          <w:ilvl w:val="0"/>
          <w:numId w:val="9"/>
        </w:numPr>
        <w:ind w:left="567"/>
        <w:rPr>
          <w:szCs w:val="24"/>
        </w:rPr>
      </w:pPr>
      <w:r w:rsidRPr="00231BDA">
        <w:rPr>
          <w:szCs w:val="24"/>
        </w:rPr>
        <w:t>Région 7</w:t>
      </w:r>
      <w:r w:rsidR="00BC4EF6" w:rsidRPr="00231BDA">
        <w:rPr>
          <w:szCs w:val="24"/>
        </w:rPr>
        <w:t> :</w:t>
      </w:r>
      <w:r w:rsidRPr="00231BDA">
        <w:rPr>
          <w:szCs w:val="24"/>
        </w:rPr>
        <w:t>Iran, Iraq, Yémen</w:t>
      </w:r>
      <w:r w:rsidR="00E94AB8" w:rsidRPr="00231BDA">
        <w:rPr>
          <w:szCs w:val="24"/>
        </w:rPr>
        <w:t>, et les Pays et territoires à revenu élevé comme l’</w:t>
      </w:r>
      <w:r w:rsidRPr="00231BDA">
        <w:rPr>
          <w:szCs w:val="24"/>
        </w:rPr>
        <w:t xml:space="preserve">Arabie saoudite, Bahreïn, Émirats arabes unis, Koweït, Oman, </w:t>
      </w:r>
      <w:r w:rsidR="00E94AB8" w:rsidRPr="00231BDA">
        <w:rPr>
          <w:szCs w:val="24"/>
        </w:rPr>
        <w:t xml:space="preserve">et le </w:t>
      </w:r>
      <w:r w:rsidRPr="00231BDA">
        <w:rPr>
          <w:szCs w:val="24"/>
        </w:rPr>
        <w:t>Qatar</w:t>
      </w:r>
      <w:r w:rsidR="00E94AB8" w:rsidRPr="00231BDA">
        <w:rPr>
          <w:szCs w:val="24"/>
        </w:rPr>
        <w:t>.</w:t>
      </w:r>
    </w:p>
    <w:p w:rsidR="00F81773" w:rsidRPr="00231BDA" w:rsidRDefault="00F81773" w:rsidP="00C72D2C">
      <w:pPr>
        <w:pStyle w:val="a"/>
        <w:numPr>
          <w:ilvl w:val="0"/>
          <w:numId w:val="9"/>
        </w:numPr>
        <w:ind w:left="567"/>
        <w:rPr>
          <w:szCs w:val="24"/>
        </w:rPr>
      </w:pPr>
      <w:r w:rsidRPr="00231BDA">
        <w:rPr>
          <w:szCs w:val="24"/>
        </w:rPr>
        <w:t>Région 8</w:t>
      </w:r>
      <w:r w:rsidR="00BC4EF6" w:rsidRPr="00231BDA">
        <w:rPr>
          <w:szCs w:val="24"/>
        </w:rPr>
        <w:t xml:space="preserve"> : </w:t>
      </w:r>
      <w:r w:rsidRPr="00231BDA">
        <w:rPr>
          <w:szCs w:val="24"/>
        </w:rPr>
        <w:t>Fidji, Îles Cook, Îles Marshall, Îles Salomon, Kiribati, Micronésie, Nauru, Niu</w:t>
      </w:r>
      <w:r w:rsidR="00BC4EF6" w:rsidRPr="00231BDA">
        <w:rPr>
          <w:szCs w:val="24"/>
        </w:rPr>
        <w:t xml:space="preserve">e, Palaos, Papouasie Nouvelle </w:t>
      </w:r>
      <w:r w:rsidRPr="00231BDA">
        <w:rPr>
          <w:szCs w:val="24"/>
        </w:rPr>
        <w:t>Guinée, Samoa, Timor-Oriental, Tonga, Tuvalu, Vanuatu</w:t>
      </w:r>
      <w:r w:rsidR="00E94AB8" w:rsidRPr="00231BDA">
        <w:rPr>
          <w:szCs w:val="24"/>
        </w:rPr>
        <w:t xml:space="preserve">, et les </w:t>
      </w:r>
      <w:r w:rsidRPr="00231BDA">
        <w:rPr>
          <w:szCs w:val="24"/>
        </w:rPr>
        <w:t>Pays à revenu élevé</w:t>
      </w:r>
      <w:r w:rsidR="00E94AB8" w:rsidRPr="00231BDA">
        <w:rPr>
          <w:szCs w:val="24"/>
        </w:rPr>
        <w:t xml:space="preserve"> comme</w:t>
      </w:r>
      <w:r w:rsidRPr="00231BDA">
        <w:rPr>
          <w:szCs w:val="24"/>
        </w:rPr>
        <w:t xml:space="preserve"> Australie</w:t>
      </w:r>
      <w:r w:rsidR="00E94AB8" w:rsidRPr="00231BDA">
        <w:rPr>
          <w:szCs w:val="24"/>
        </w:rPr>
        <w:t xml:space="preserve"> et la </w:t>
      </w:r>
      <w:r w:rsidRPr="00231BDA">
        <w:rPr>
          <w:szCs w:val="24"/>
        </w:rPr>
        <w:t>Nouvelle-Zélande</w:t>
      </w:r>
      <w:r w:rsidR="00BC4EF6" w:rsidRPr="00231BDA">
        <w:rPr>
          <w:szCs w:val="24"/>
        </w:rPr>
        <w:t>.</w:t>
      </w:r>
    </w:p>
    <w:p w:rsidR="00F81773" w:rsidRPr="00231BDA" w:rsidRDefault="00F81773" w:rsidP="00C72D2C">
      <w:pPr>
        <w:pStyle w:val="a"/>
        <w:numPr>
          <w:ilvl w:val="0"/>
          <w:numId w:val="9"/>
        </w:numPr>
        <w:ind w:left="567"/>
        <w:rPr>
          <w:szCs w:val="24"/>
        </w:rPr>
      </w:pPr>
      <w:r w:rsidRPr="00231BDA">
        <w:rPr>
          <w:szCs w:val="24"/>
        </w:rPr>
        <w:t>Région 9: Afrique du Sud, Angola, Bénin, Botswana, Burkina Faso, Burundi, Cabo Verde, Cameroun, Comores, Congo, Côte d’Ivoire, Djibouti, Guinée équatoriale, Érythrée, Eswatini, Éthiopie, Gabon, Gambie, Ghana, Guinée, Guinée-Bissau, Kenya, Lesotho, Liberia,Madagascar, Malawi, Mali, Maurice, Mauritanie, Mozambique, Namibie, Niger, Nigeria, Ouganda, République centrafricaine, République démocratique du Congo, Rwanda, Sao Tomé-et-Principe, Sénégal, Seychelles, Sierra Leone, Somalie, Soudan, Soudan du Sud, Tanzanie, Tchad, Togo, Zambie et Zimbabwe</w:t>
      </w:r>
      <w:r w:rsidR="00E94AB8" w:rsidRPr="00231BDA">
        <w:rPr>
          <w:szCs w:val="24"/>
        </w:rPr>
        <w:t>.</w:t>
      </w:r>
    </w:p>
    <w:p w:rsidR="00F81773" w:rsidRPr="00231BDA" w:rsidRDefault="00D263FA" w:rsidP="00C72D2C">
      <w:pPr>
        <w:pStyle w:val="a"/>
        <w:numPr>
          <w:ilvl w:val="0"/>
          <w:numId w:val="9"/>
        </w:numPr>
        <w:ind w:left="567"/>
        <w:rPr>
          <w:szCs w:val="24"/>
        </w:rPr>
      </w:pPr>
      <w:r w:rsidRPr="00231BDA">
        <w:rPr>
          <w:szCs w:val="24"/>
        </w:rPr>
        <w:t xml:space="preserve">Région 10 : </w:t>
      </w:r>
      <w:r w:rsidR="00F81773" w:rsidRPr="00231BDA">
        <w:rPr>
          <w:szCs w:val="24"/>
        </w:rPr>
        <w:t>Argentine, Bolivie, Brésil, Chili, Colombie, Costa Rica, Équateur, El Salvador, Guatemala, Honduras, Mexique, Nicaragua, Panama, Paraguay, Pérou, Uruguay et Venezuela</w:t>
      </w:r>
      <w:r w:rsidR="00231BDA">
        <w:rPr>
          <w:szCs w:val="24"/>
        </w:rPr>
        <w:t>.</w:t>
      </w:r>
    </w:p>
    <w:p w:rsidR="00F81773" w:rsidRPr="00231BDA" w:rsidRDefault="00F81773" w:rsidP="00C72D2C">
      <w:pPr>
        <w:pStyle w:val="a"/>
        <w:numPr>
          <w:ilvl w:val="0"/>
          <w:numId w:val="9"/>
        </w:numPr>
        <w:ind w:left="567"/>
        <w:rPr>
          <w:szCs w:val="24"/>
        </w:rPr>
      </w:pPr>
      <w:r w:rsidRPr="00231BDA">
        <w:rPr>
          <w:szCs w:val="24"/>
        </w:rPr>
        <w:t>Région 11</w:t>
      </w:r>
      <w:r w:rsidR="00D263FA" w:rsidRPr="00231BDA">
        <w:rPr>
          <w:szCs w:val="24"/>
        </w:rPr>
        <w:t xml:space="preserve"> : </w:t>
      </w:r>
      <w:r w:rsidRPr="00231BDA">
        <w:rPr>
          <w:szCs w:val="24"/>
        </w:rPr>
        <w:t>Antigua-et-Barbuda, Bahamas, Barbade, Belize, Cuba, Dominique, République dominicaine, Grenade, Guyane, Haïti, Jamaïque, Saint-Christophe-et-Niévès, Sainte-Lucie, Saint-Vincent-et-les-Grenadines, Suriname et Trinité-et-Tobago</w:t>
      </w:r>
    </w:p>
    <w:p w:rsidR="00F81773" w:rsidRPr="00231BDA" w:rsidRDefault="00F81773" w:rsidP="00C72D2C">
      <w:pPr>
        <w:pStyle w:val="a"/>
        <w:numPr>
          <w:ilvl w:val="0"/>
          <w:numId w:val="9"/>
        </w:numPr>
        <w:ind w:left="567"/>
        <w:rPr>
          <w:szCs w:val="24"/>
        </w:rPr>
      </w:pPr>
      <w:r w:rsidRPr="00231BDA">
        <w:rPr>
          <w:szCs w:val="24"/>
        </w:rPr>
        <w:t>Région 12</w:t>
      </w:r>
      <w:r w:rsidR="005C3B8A" w:rsidRPr="00231BDA">
        <w:rPr>
          <w:szCs w:val="24"/>
        </w:rPr>
        <w:t xml:space="preserve"> : </w:t>
      </w:r>
      <w:r w:rsidRPr="00231BDA">
        <w:rPr>
          <w:szCs w:val="24"/>
        </w:rPr>
        <w:t>États-Unis d’Amérique, Canada</w:t>
      </w:r>
    </w:p>
    <w:p w:rsidR="00F81773" w:rsidRPr="00231BDA" w:rsidRDefault="00F81773" w:rsidP="00C72D2C">
      <w:pPr>
        <w:pStyle w:val="a"/>
        <w:numPr>
          <w:ilvl w:val="0"/>
          <w:numId w:val="9"/>
        </w:numPr>
        <w:ind w:left="567"/>
        <w:rPr>
          <w:szCs w:val="24"/>
        </w:rPr>
      </w:pPr>
      <w:r w:rsidRPr="00231BDA">
        <w:rPr>
          <w:szCs w:val="24"/>
        </w:rPr>
        <w:t>Région 13</w:t>
      </w:r>
      <w:r w:rsidR="005C3B8A" w:rsidRPr="00231BDA">
        <w:rPr>
          <w:szCs w:val="24"/>
        </w:rPr>
        <w:t xml:space="preserve"> : </w:t>
      </w:r>
      <w:r w:rsidRPr="00231BDA">
        <w:rPr>
          <w:szCs w:val="24"/>
        </w:rPr>
        <w:t>Andorre, État de la Cité du Vatican, Monaco, Saint-Marin</w:t>
      </w:r>
    </w:p>
    <w:p w:rsidR="00F81773" w:rsidRDefault="00F81773" w:rsidP="00C72D2C">
      <w:pPr>
        <w:pStyle w:val="a"/>
        <w:numPr>
          <w:ilvl w:val="0"/>
          <w:numId w:val="9"/>
        </w:numPr>
        <w:ind w:left="567"/>
        <w:rPr>
          <w:szCs w:val="24"/>
        </w:rPr>
      </w:pPr>
      <w:r w:rsidRPr="00231BDA">
        <w:rPr>
          <w:szCs w:val="24"/>
        </w:rPr>
        <w:t>Région 14</w:t>
      </w:r>
      <w:r w:rsidR="005C3B8A" w:rsidRPr="00231BDA">
        <w:rPr>
          <w:szCs w:val="24"/>
        </w:rPr>
        <w:t xml:space="preserve"> : </w:t>
      </w:r>
      <w:r w:rsidRPr="00231BDA">
        <w:rPr>
          <w:szCs w:val="24"/>
        </w:rPr>
        <w:t>Îles Féroé, Royaume-Uni, Suisse</w:t>
      </w:r>
    </w:p>
    <w:p w:rsidR="00CB15F3" w:rsidRDefault="00CB15F3" w:rsidP="00CB15F3">
      <w:pPr>
        <w:pStyle w:val="a"/>
        <w:spacing w:after="0"/>
        <w:ind w:left="567" w:firstLine="0"/>
        <w:rPr>
          <w:szCs w:val="24"/>
        </w:rPr>
      </w:pPr>
    </w:p>
    <w:p w:rsidR="00CB15F3" w:rsidRDefault="00CB15F3" w:rsidP="002B1166">
      <w:pPr>
        <w:pStyle w:val="a"/>
        <w:spacing w:line="276" w:lineRule="auto"/>
        <w:rPr>
          <w:szCs w:val="24"/>
        </w:rPr>
      </w:pPr>
      <w:r>
        <w:rPr>
          <w:szCs w:val="24"/>
        </w:rPr>
        <w:t>Afin de mieux illustr</w:t>
      </w:r>
      <w:r w:rsidR="002B1166">
        <w:rPr>
          <w:szCs w:val="24"/>
        </w:rPr>
        <w:t>er</w:t>
      </w:r>
      <w:r>
        <w:rPr>
          <w:szCs w:val="24"/>
        </w:rPr>
        <w:t xml:space="preserve"> cette diversité de destinations de mobilité permise par le programme Erasmus, nous pouvons présenter l’exemple de l’université de Renne</w:t>
      </w:r>
      <w:r w:rsidR="00E52B9C" w:rsidRPr="008C7592">
        <w:rPr>
          <w:szCs w:val="24"/>
        </w:rPr>
        <w:t>(univ-rennes2, 2025)</w:t>
      </w:r>
      <w:r w:rsidR="00E52B9C">
        <w:rPr>
          <w:szCs w:val="24"/>
        </w:rPr>
        <w:t xml:space="preserve">. </w:t>
      </w:r>
      <w:r>
        <w:rPr>
          <w:szCs w:val="24"/>
        </w:rPr>
        <w:t xml:space="preserve">En effet, entre 2023 et 2024, l’université de Renne via Erasmus a </w:t>
      </w:r>
      <w:r w:rsidRPr="00435641">
        <w:rPr>
          <w:szCs w:val="24"/>
        </w:rPr>
        <w:t>permis</w:t>
      </w:r>
      <w:r>
        <w:rPr>
          <w:szCs w:val="24"/>
        </w:rPr>
        <w:t xml:space="preserve"> à plus </w:t>
      </w:r>
      <w:r w:rsidR="002B1166">
        <w:rPr>
          <w:szCs w:val="24"/>
        </w:rPr>
        <w:t xml:space="preserve">de </w:t>
      </w:r>
      <w:r>
        <w:rPr>
          <w:szCs w:val="24"/>
        </w:rPr>
        <w:t>300 étudiants de profiter d’une mobilité internationale. Cette mobilité</w:t>
      </w:r>
      <w:r w:rsidR="002B1166">
        <w:rPr>
          <w:szCs w:val="24"/>
        </w:rPr>
        <w:t xml:space="preserve"> a</w:t>
      </w:r>
      <w:r>
        <w:rPr>
          <w:szCs w:val="24"/>
        </w:rPr>
        <w:t xml:space="preserve"> couvert presque le monde entier</w:t>
      </w:r>
      <w:r w:rsidR="002B1166">
        <w:rPr>
          <w:szCs w:val="24"/>
        </w:rPr>
        <w:t>,</w:t>
      </w:r>
      <w:r>
        <w:rPr>
          <w:szCs w:val="24"/>
        </w:rPr>
        <w:t xml:space="preserve"> avec plus de 30 destinations différent</w:t>
      </w:r>
      <w:r w:rsidR="002B1166">
        <w:rPr>
          <w:szCs w:val="24"/>
        </w:rPr>
        <w:t>e</w:t>
      </w:r>
      <w:r>
        <w:rPr>
          <w:szCs w:val="24"/>
        </w:rPr>
        <w:t xml:space="preserve">s sur différents continents. </w:t>
      </w:r>
      <w:r>
        <w:rPr>
          <w:szCs w:val="24"/>
        </w:rPr>
        <w:lastRenderedPageBreak/>
        <w:t>Ceci</w:t>
      </w:r>
      <w:r w:rsidR="002B1166">
        <w:rPr>
          <w:szCs w:val="24"/>
        </w:rPr>
        <w:t>,</w:t>
      </w:r>
      <w:r>
        <w:rPr>
          <w:szCs w:val="24"/>
        </w:rPr>
        <w:t xml:space="preserve"> démontre bien l’</w:t>
      </w:r>
      <w:r w:rsidR="009C0797">
        <w:rPr>
          <w:szCs w:val="24"/>
        </w:rPr>
        <w:t>étenduet</w:t>
      </w:r>
      <w:r>
        <w:rPr>
          <w:szCs w:val="24"/>
        </w:rPr>
        <w:t xml:space="preserve"> la richesse du </w:t>
      </w:r>
      <w:r w:rsidR="009C0797">
        <w:rPr>
          <w:szCs w:val="24"/>
        </w:rPr>
        <w:t>réseau Erasmus</w:t>
      </w:r>
      <w:r>
        <w:rPr>
          <w:szCs w:val="24"/>
        </w:rPr>
        <w:t xml:space="preserve"> à </w:t>
      </w:r>
      <w:r w:rsidR="009C0797">
        <w:rPr>
          <w:szCs w:val="24"/>
        </w:rPr>
        <w:t>travers</w:t>
      </w:r>
      <w:r>
        <w:rPr>
          <w:szCs w:val="24"/>
        </w:rPr>
        <w:t xml:space="preserve"> le glob</w:t>
      </w:r>
      <w:r w:rsidR="009C0797">
        <w:rPr>
          <w:szCs w:val="24"/>
        </w:rPr>
        <w:t>e</w:t>
      </w:r>
      <w:r>
        <w:rPr>
          <w:szCs w:val="24"/>
        </w:rPr>
        <w:t xml:space="preserve"> ent</w:t>
      </w:r>
      <w:r w:rsidR="009C0797">
        <w:rPr>
          <w:szCs w:val="24"/>
        </w:rPr>
        <w:t>ier</w:t>
      </w:r>
      <w:r w:rsidR="002B1166">
        <w:rPr>
          <w:szCs w:val="24"/>
        </w:rPr>
        <w:t>,</w:t>
      </w:r>
      <w:r w:rsidR="009C0797">
        <w:rPr>
          <w:szCs w:val="24"/>
        </w:rPr>
        <w:t>en matière de mobilité des étudiants.</w:t>
      </w:r>
    </w:p>
    <w:p w:rsidR="00CB15F3" w:rsidRDefault="00CB15F3" w:rsidP="00CB15F3">
      <w:pPr>
        <w:pStyle w:val="a"/>
        <w:spacing w:line="276" w:lineRule="auto"/>
        <w:rPr>
          <w:szCs w:val="24"/>
        </w:rPr>
      </w:pPr>
    </w:p>
    <w:p w:rsidR="00CB15F3" w:rsidRDefault="00CB15F3" w:rsidP="00CB15F3">
      <w:pPr>
        <w:pStyle w:val="a"/>
        <w:spacing w:line="276" w:lineRule="auto"/>
        <w:rPr>
          <w:szCs w:val="24"/>
        </w:rPr>
      </w:pPr>
    </w:p>
    <w:p w:rsidR="00F93AB6" w:rsidRDefault="00F93AB6" w:rsidP="003D6F0C">
      <w:pPr>
        <w:pStyle w:val="a"/>
        <w:spacing w:after="0" w:line="276" w:lineRule="auto"/>
        <w:jc w:val="center"/>
        <w:rPr>
          <w:szCs w:val="24"/>
        </w:rPr>
      </w:pPr>
      <w:r>
        <w:rPr>
          <w:b/>
          <w:bCs/>
          <w:szCs w:val="24"/>
        </w:rPr>
        <w:t>Fig</w:t>
      </w:r>
      <w:r w:rsidR="008C7592">
        <w:rPr>
          <w:b/>
          <w:bCs/>
          <w:szCs w:val="24"/>
        </w:rPr>
        <w:t>ure</w:t>
      </w:r>
      <w:r w:rsidR="008C7592" w:rsidRPr="00FE2615">
        <w:rPr>
          <w:b/>
          <w:bCs/>
          <w:szCs w:val="24"/>
        </w:rPr>
        <w:t>01 :</w:t>
      </w:r>
      <w:r w:rsidR="003D6F0C">
        <w:rPr>
          <w:b/>
          <w:bCs/>
          <w:szCs w:val="24"/>
        </w:rPr>
        <w:t>Exemple de mobilité d’études internationale</w:t>
      </w:r>
    </w:p>
    <w:p w:rsidR="00F93AB6" w:rsidRDefault="00A7025B" w:rsidP="00CB15F3">
      <w:pPr>
        <w:pStyle w:val="a"/>
        <w:spacing w:line="276" w:lineRule="auto"/>
        <w:rPr>
          <w:szCs w:val="24"/>
        </w:rPr>
      </w:pPr>
      <w:r w:rsidRPr="00A7025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7.7pt;margin-top:1.65pt;width:378.7pt;height:280.65pt;z-index:251661312">
            <v:imagedata r:id="rId12" o:title="2023-2024-mobilité-propor-pays_"/>
          </v:shape>
        </w:pict>
      </w:r>
    </w:p>
    <w:p w:rsidR="00F93AB6" w:rsidRDefault="00F93AB6" w:rsidP="00CB15F3">
      <w:pPr>
        <w:pStyle w:val="a"/>
        <w:spacing w:line="276" w:lineRule="auto"/>
        <w:rPr>
          <w:szCs w:val="24"/>
        </w:rPr>
      </w:pPr>
    </w:p>
    <w:p w:rsidR="00F93AB6" w:rsidRDefault="00F93AB6" w:rsidP="00CB15F3">
      <w:pPr>
        <w:pStyle w:val="a"/>
        <w:spacing w:line="276" w:lineRule="auto"/>
        <w:rPr>
          <w:szCs w:val="24"/>
        </w:rPr>
      </w:pPr>
    </w:p>
    <w:p w:rsidR="00F93AB6" w:rsidRDefault="00F93AB6" w:rsidP="00CB15F3">
      <w:pPr>
        <w:pStyle w:val="a"/>
        <w:spacing w:line="276" w:lineRule="auto"/>
        <w:rPr>
          <w:szCs w:val="24"/>
        </w:rPr>
      </w:pPr>
    </w:p>
    <w:p w:rsidR="00F93AB6" w:rsidRDefault="00F93AB6" w:rsidP="00CB15F3">
      <w:pPr>
        <w:pStyle w:val="a"/>
        <w:spacing w:line="276" w:lineRule="auto"/>
        <w:rPr>
          <w:szCs w:val="24"/>
        </w:rPr>
      </w:pPr>
    </w:p>
    <w:p w:rsidR="00CB15F3" w:rsidRDefault="00CB15F3" w:rsidP="00CB15F3">
      <w:pPr>
        <w:pStyle w:val="a"/>
        <w:spacing w:line="276" w:lineRule="auto"/>
        <w:rPr>
          <w:szCs w:val="24"/>
        </w:rPr>
      </w:pPr>
    </w:p>
    <w:p w:rsidR="00F93AB6" w:rsidRDefault="00F93AB6" w:rsidP="00CB15F3">
      <w:pPr>
        <w:pStyle w:val="a"/>
        <w:spacing w:line="276" w:lineRule="auto"/>
        <w:rPr>
          <w:szCs w:val="24"/>
        </w:rPr>
      </w:pPr>
    </w:p>
    <w:p w:rsidR="00F93AB6" w:rsidRDefault="00F93AB6" w:rsidP="00CB15F3">
      <w:pPr>
        <w:pStyle w:val="a"/>
        <w:spacing w:line="276" w:lineRule="auto"/>
        <w:rPr>
          <w:szCs w:val="24"/>
        </w:rPr>
      </w:pPr>
    </w:p>
    <w:p w:rsidR="00F93AB6" w:rsidRDefault="00F93AB6" w:rsidP="00CB15F3">
      <w:pPr>
        <w:pStyle w:val="a"/>
        <w:spacing w:line="276" w:lineRule="auto"/>
        <w:rPr>
          <w:szCs w:val="24"/>
        </w:rPr>
      </w:pPr>
    </w:p>
    <w:p w:rsidR="00F93AB6" w:rsidRDefault="00F93AB6" w:rsidP="00CB15F3">
      <w:pPr>
        <w:pStyle w:val="a"/>
        <w:spacing w:line="276" w:lineRule="auto"/>
        <w:rPr>
          <w:szCs w:val="24"/>
        </w:rPr>
      </w:pPr>
    </w:p>
    <w:p w:rsidR="008C7592" w:rsidRDefault="008C7592" w:rsidP="00CB15F3">
      <w:pPr>
        <w:pStyle w:val="a"/>
        <w:spacing w:line="276" w:lineRule="auto"/>
        <w:rPr>
          <w:szCs w:val="24"/>
        </w:rPr>
      </w:pPr>
    </w:p>
    <w:p w:rsidR="00F93AB6" w:rsidRPr="008C7592" w:rsidRDefault="00F93AB6" w:rsidP="00CB15F3">
      <w:pPr>
        <w:pStyle w:val="a"/>
        <w:spacing w:line="276" w:lineRule="auto"/>
        <w:rPr>
          <w:sz w:val="10"/>
          <w:szCs w:val="10"/>
        </w:rPr>
      </w:pPr>
    </w:p>
    <w:p w:rsidR="00F93AB6" w:rsidRDefault="00F93AB6" w:rsidP="00F93AB6">
      <w:pPr>
        <w:pStyle w:val="Paragraphedeliste"/>
        <w:spacing w:line="276" w:lineRule="auto"/>
        <w:ind w:left="142" w:firstLine="284"/>
        <w:jc w:val="center"/>
        <w:rPr>
          <w:rFonts w:asciiTheme="majorBidi" w:hAnsiTheme="majorBidi" w:cstheme="majorBidi"/>
          <w:sz w:val="24"/>
          <w:szCs w:val="24"/>
        </w:rPr>
      </w:pPr>
      <w:r w:rsidRPr="008C7592">
        <w:rPr>
          <w:rFonts w:asciiTheme="majorBidi" w:hAnsiTheme="majorBidi" w:cstheme="majorBidi"/>
          <w:sz w:val="24"/>
          <w:szCs w:val="24"/>
        </w:rPr>
        <w:t>Source : (univ-rennes2</w:t>
      </w:r>
      <w:r w:rsidR="008C7592" w:rsidRPr="008C7592">
        <w:rPr>
          <w:rFonts w:asciiTheme="majorBidi" w:hAnsiTheme="majorBidi" w:cstheme="majorBidi"/>
          <w:sz w:val="24"/>
          <w:szCs w:val="24"/>
        </w:rPr>
        <w:t xml:space="preserve">, </w:t>
      </w:r>
      <w:r w:rsidRPr="008C7592">
        <w:rPr>
          <w:rFonts w:asciiTheme="majorBidi" w:hAnsiTheme="majorBidi" w:cstheme="majorBidi"/>
          <w:sz w:val="24"/>
          <w:szCs w:val="24"/>
        </w:rPr>
        <w:t>2025)</w:t>
      </w:r>
    </w:p>
    <w:p w:rsidR="008C7592" w:rsidRPr="008C7592" w:rsidRDefault="008C7592" w:rsidP="00F93AB6">
      <w:pPr>
        <w:pStyle w:val="Paragraphedeliste"/>
        <w:spacing w:line="276" w:lineRule="auto"/>
        <w:ind w:left="142" w:firstLine="284"/>
        <w:jc w:val="center"/>
        <w:rPr>
          <w:rFonts w:asciiTheme="majorBidi" w:hAnsiTheme="majorBidi" w:cstheme="majorBidi"/>
          <w:sz w:val="10"/>
          <w:szCs w:val="10"/>
        </w:rPr>
      </w:pPr>
    </w:p>
    <w:p w:rsidR="00D73C87" w:rsidRPr="00CA5127" w:rsidRDefault="00D73C87" w:rsidP="00CA5127">
      <w:pPr>
        <w:pStyle w:val="Paragraphedeliste"/>
        <w:numPr>
          <w:ilvl w:val="1"/>
          <w:numId w:val="1"/>
        </w:numPr>
        <w:spacing w:line="276" w:lineRule="auto"/>
        <w:ind w:left="426"/>
        <w:jc w:val="both"/>
        <w:rPr>
          <w:rFonts w:asciiTheme="majorBidi" w:hAnsiTheme="majorBidi" w:cstheme="majorBidi"/>
          <w:sz w:val="24"/>
          <w:szCs w:val="24"/>
        </w:rPr>
      </w:pPr>
      <w:r w:rsidRPr="00CA5127">
        <w:rPr>
          <w:rFonts w:asciiTheme="majorBidi" w:hAnsiTheme="majorBidi" w:cstheme="majorBidi"/>
          <w:sz w:val="24"/>
          <w:szCs w:val="24"/>
        </w:rPr>
        <w:t>Mécanismes du programme Erasmus</w:t>
      </w:r>
    </w:p>
    <w:p w:rsidR="00D73C87" w:rsidRDefault="00D73C87" w:rsidP="00D73C87">
      <w:pPr>
        <w:spacing w:line="276" w:lineRule="auto"/>
        <w:ind w:left="66"/>
        <w:jc w:val="both"/>
        <w:rPr>
          <w:rFonts w:asciiTheme="majorBidi" w:hAnsiTheme="majorBidi" w:cstheme="majorBidi"/>
          <w:sz w:val="24"/>
          <w:szCs w:val="24"/>
        </w:rPr>
      </w:pPr>
      <w:r>
        <w:rPr>
          <w:rFonts w:asciiTheme="majorBidi" w:hAnsiTheme="majorBidi" w:cstheme="majorBidi"/>
          <w:sz w:val="24"/>
          <w:szCs w:val="24"/>
        </w:rPr>
        <w:t>Le programme</w:t>
      </w:r>
      <w:r w:rsidRPr="00D73C87">
        <w:rPr>
          <w:rFonts w:asciiTheme="majorBidi" w:hAnsiTheme="majorBidi" w:cstheme="majorBidi"/>
          <w:sz w:val="24"/>
          <w:szCs w:val="24"/>
        </w:rPr>
        <w:t xml:space="preserve"> d'Erasmus </w:t>
      </w:r>
      <w:r>
        <w:rPr>
          <w:rFonts w:asciiTheme="majorBidi" w:hAnsiTheme="majorBidi" w:cstheme="majorBidi"/>
          <w:sz w:val="24"/>
          <w:szCs w:val="24"/>
        </w:rPr>
        <w:t xml:space="preserve">peut s’apprécier à travers </w:t>
      </w:r>
      <w:r w:rsidRPr="00D73C87">
        <w:rPr>
          <w:rFonts w:asciiTheme="majorBidi" w:hAnsiTheme="majorBidi" w:cstheme="majorBidi"/>
          <w:sz w:val="24"/>
          <w:szCs w:val="24"/>
        </w:rPr>
        <w:t>trois piliers fondamentaux :</w:t>
      </w:r>
    </w:p>
    <w:p w:rsidR="00D73C87" w:rsidRPr="00681799" w:rsidRDefault="00D73C87" w:rsidP="00EA3D92">
      <w:pPr>
        <w:pStyle w:val="Paragraphedeliste"/>
        <w:numPr>
          <w:ilvl w:val="0"/>
          <w:numId w:val="4"/>
        </w:numPr>
        <w:spacing w:after="0" w:line="276" w:lineRule="auto"/>
        <w:ind w:left="142" w:firstLine="142"/>
        <w:jc w:val="both"/>
        <w:rPr>
          <w:rFonts w:asciiTheme="majorBidi" w:hAnsiTheme="majorBidi" w:cstheme="majorBidi"/>
          <w:sz w:val="24"/>
          <w:szCs w:val="24"/>
        </w:rPr>
      </w:pPr>
      <w:r w:rsidRPr="00D73C87">
        <w:rPr>
          <w:rFonts w:asciiTheme="majorBidi" w:hAnsiTheme="majorBidi" w:cstheme="majorBidi"/>
          <w:sz w:val="24"/>
          <w:szCs w:val="24"/>
        </w:rPr>
        <w:t xml:space="preserve">Les accords </w:t>
      </w:r>
      <w:r w:rsidR="003A2937" w:rsidRPr="00D73C87">
        <w:rPr>
          <w:rFonts w:asciiTheme="majorBidi" w:hAnsiTheme="majorBidi" w:cstheme="majorBidi"/>
          <w:sz w:val="24"/>
          <w:szCs w:val="24"/>
        </w:rPr>
        <w:t>interinstitutionnels</w:t>
      </w:r>
      <w:r w:rsidRPr="00D73C87">
        <w:rPr>
          <w:rFonts w:asciiTheme="majorBidi" w:hAnsiTheme="majorBidi" w:cstheme="majorBidi"/>
          <w:sz w:val="24"/>
          <w:szCs w:val="24"/>
        </w:rPr>
        <w:t xml:space="preserve"> : Avant tout échange, </w:t>
      </w:r>
      <w:r w:rsidR="003A2937" w:rsidRPr="00D73C87">
        <w:rPr>
          <w:rFonts w:asciiTheme="majorBidi" w:hAnsiTheme="majorBidi" w:cstheme="majorBidi"/>
          <w:sz w:val="24"/>
          <w:szCs w:val="24"/>
        </w:rPr>
        <w:t xml:space="preserve">un accord bilatéral qui définit les conditions de la mobilité </w:t>
      </w:r>
      <w:r w:rsidR="003A2937">
        <w:rPr>
          <w:rFonts w:asciiTheme="majorBidi" w:hAnsiTheme="majorBidi" w:cstheme="majorBidi"/>
          <w:sz w:val="24"/>
          <w:szCs w:val="24"/>
        </w:rPr>
        <w:t xml:space="preserve">doit être mis en place par </w:t>
      </w:r>
      <w:r w:rsidRPr="00D73C87">
        <w:rPr>
          <w:rFonts w:asciiTheme="majorBidi" w:hAnsiTheme="majorBidi" w:cstheme="majorBidi"/>
          <w:sz w:val="24"/>
          <w:szCs w:val="24"/>
        </w:rPr>
        <w:t xml:space="preserve">les universités partenaires. Cet accord </w:t>
      </w:r>
      <w:r w:rsidR="003A2937">
        <w:rPr>
          <w:rFonts w:asciiTheme="majorBidi" w:hAnsiTheme="majorBidi" w:cstheme="majorBidi"/>
          <w:sz w:val="24"/>
          <w:szCs w:val="24"/>
        </w:rPr>
        <w:t xml:space="preserve">représente </w:t>
      </w:r>
      <w:r w:rsidRPr="00D73C87">
        <w:rPr>
          <w:rFonts w:asciiTheme="majorBidi" w:hAnsiTheme="majorBidi" w:cstheme="majorBidi"/>
          <w:sz w:val="24"/>
          <w:szCs w:val="24"/>
        </w:rPr>
        <w:t xml:space="preserve">un précurseur de l'assurance qualité, </w:t>
      </w:r>
      <w:r w:rsidR="003A2937">
        <w:rPr>
          <w:rFonts w:asciiTheme="majorBidi" w:hAnsiTheme="majorBidi" w:cstheme="majorBidi"/>
          <w:sz w:val="24"/>
          <w:szCs w:val="24"/>
        </w:rPr>
        <w:t>vu qu’</w:t>
      </w:r>
      <w:r w:rsidRPr="00D73C87">
        <w:rPr>
          <w:rFonts w:asciiTheme="majorBidi" w:hAnsiTheme="majorBidi" w:cstheme="majorBidi"/>
          <w:sz w:val="24"/>
          <w:szCs w:val="24"/>
        </w:rPr>
        <w:t xml:space="preserve">il oblige les institutions à s'engager sur des </w:t>
      </w:r>
      <w:r w:rsidRPr="00681799">
        <w:rPr>
          <w:rFonts w:asciiTheme="majorBidi" w:hAnsiTheme="majorBidi" w:cstheme="majorBidi"/>
          <w:sz w:val="24"/>
          <w:szCs w:val="24"/>
        </w:rPr>
        <w:t xml:space="preserve">standards </w:t>
      </w:r>
      <w:r w:rsidR="003A2937" w:rsidRPr="00681799">
        <w:rPr>
          <w:rFonts w:asciiTheme="majorBidi" w:hAnsiTheme="majorBidi" w:cstheme="majorBidi"/>
          <w:sz w:val="24"/>
          <w:szCs w:val="24"/>
        </w:rPr>
        <w:t xml:space="preserve">en matière de </w:t>
      </w:r>
      <w:r w:rsidRPr="00681799">
        <w:rPr>
          <w:rFonts w:asciiTheme="majorBidi" w:hAnsiTheme="majorBidi" w:cstheme="majorBidi"/>
          <w:sz w:val="24"/>
          <w:szCs w:val="24"/>
        </w:rPr>
        <w:t>reconnaissance académique et de soutien aux étudiants</w:t>
      </w:r>
      <w:r w:rsidR="003A2937" w:rsidRPr="00681799">
        <w:rPr>
          <w:rFonts w:asciiTheme="majorBidi" w:hAnsiTheme="majorBidi" w:cstheme="majorBidi"/>
          <w:sz w:val="24"/>
          <w:szCs w:val="24"/>
        </w:rPr>
        <w:t xml:space="preserve"> participants au programme</w:t>
      </w:r>
      <w:r w:rsidRPr="00681799">
        <w:rPr>
          <w:rFonts w:asciiTheme="majorBidi" w:hAnsiTheme="majorBidi" w:cstheme="majorBidi"/>
          <w:sz w:val="24"/>
          <w:szCs w:val="24"/>
        </w:rPr>
        <w:t xml:space="preserve">. </w:t>
      </w:r>
      <w:r w:rsidR="003A2937" w:rsidRPr="00681799">
        <w:rPr>
          <w:rFonts w:asciiTheme="majorBidi" w:hAnsiTheme="majorBidi" w:cstheme="majorBidi"/>
          <w:sz w:val="24"/>
          <w:szCs w:val="24"/>
        </w:rPr>
        <w:t>Ainsi, il c</w:t>
      </w:r>
      <w:r w:rsidRPr="00681799">
        <w:rPr>
          <w:rFonts w:asciiTheme="majorBidi" w:hAnsiTheme="majorBidi" w:cstheme="majorBidi"/>
          <w:sz w:val="24"/>
          <w:szCs w:val="24"/>
        </w:rPr>
        <w:t xml:space="preserve">rée un cadre formel qui garantit un certain niveau de </w:t>
      </w:r>
      <w:r w:rsidR="003A2937" w:rsidRPr="00681799">
        <w:rPr>
          <w:rFonts w:asciiTheme="majorBidi" w:hAnsiTheme="majorBidi" w:cstheme="majorBidi"/>
          <w:sz w:val="24"/>
          <w:szCs w:val="24"/>
        </w:rPr>
        <w:t xml:space="preserve">transparence et de </w:t>
      </w:r>
      <w:r w:rsidRPr="00681799">
        <w:rPr>
          <w:rFonts w:asciiTheme="majorBidi" w:hAnsiTheme="majorBidi" w:cstheme="majorBidi"/>
          <w:sz w:val="24"/>
          <w:szCs w:val="24"/>
        </w:rPr>
        <w:t>qualité (Hénard, 2010).</w:t>
      </w:r>
    </w:p>
    <w:p w:rsidR="00EA3D92" w:rsidRPr="00681799" w:rsidRDefault="00EA3D92" w:rsidP="00EA3D92">
      <w:pPr>
        <w:pStyle w:val="Paragraphedeliste"/>
        <w:spacing w:after="0" w:line="276" w:lineRule="auto"/>
        <w:ind w:left="284"/>
        <w:jc w:val="both"/>
        <w:rPr>
          <w:rFonts w:asciiTheme="majorBidi" w:hAnsiTheme="majorBidi" w:cstheme="majorBidi"/>
          <w:sz w:val="24"/>
          <w:szCs w:val="24"/>
        </w:rPr>
      </w:pPr>
    </w:p>
    <w:p w:rsidR="00D73C87" w:rsidRPr="00681799" w:rsidRDefault="00D73C87" w:rsidP="0010359D">
      <w:pPr>
        <w:pStyle w:val="Paragraphedeliste"/>
        <w:numPr>
          <w:ilvl w:val="0"/>
          <w:numId w:val="4"/>
        </w:numPr>
        <w:spacing w:after="0" w:line="276" w:lineRule="auto"/>
        <w:ind w:left="142" w:firstLine="142"/>
        <w:jc w:val="both"/>
        <w:rPr>
          <w:rFonts w:asciiTheme="majorBidi" w:hAnsiTheme="majorBidi" w:cstheme="majorBidi"/>
          <w:sz w:val="24"/>
          <w:szCs w:val="24"/>
        </w:rPr>
      </w:pPr>
      <w:r w:rsidRPr="00681799">
        <w:rPr>
          <w:rFonts w:asciiTheme="majorBidi" w:hAnsiTheme="majorBidi" w:cstheme="majorBidi"/>
          <w:sz w:val="24"/>
          <w:szCs w:val="24"/>
        </w:rPr>
        <w:t xml:space="preserve">Le système européen de transfert </w:t>
      </w:r>
      <w:r w:rsidR="00EA3D92" w:rsidRPr="00681799">
        <w:rPr>
          <w:rFonts w:asciiTheme="majorBidi" w:hAnsiTheme="majorBidi" w:cstheme="majorBidi"/>
          <w:sz w:val="24"/>
          <w:szCs w:val="24"/>
        </w:rPr>
        <w:t>et d'accumulation de</w:t>
      </w:r>
      <w:r w:rsidR="00336255">
        <w:rPr>
          <w:rFonts w:asciiTheme="majorBidi" w:hAnsiTheme="majorBidi" w:cstheme="majorBidi"/>
          <w:sz w:val="24"/>
          <w:szCs w:val="24"/>
        </w:rPr>
        <w:t>s</w:t>
      </w:r>
      <w:r w:rsidR="00EA3D92" w:rsidRPr="00681799">
        <w:rPr>
          <w:rFonts w:asciiTheme="majorBidi" w:hAnsiTheme="majorBidi" w:cstheme="majorBidi"/>
          <w:sz w:val="24"/>
          <w:szCs w:val="24"/>
        </w:rPr>
        <w:t xml:space="preserve"> crédits</w:t>
      </w:r>
      <w:r w:rsidRPr="00681799">
        <w:rPr>
          <w:rFonts w:asciiTheme="majorBidi" w:hAnsiTheme="majorBidi" w:cstheme="majorBidi"/>
          <w:sz w:val="24"/>
          <w:szCs w:val="24"/>
        </w:rPr>
        <w:t xml:space="preserve"> : La mise en place de </w:t>
      </w:r>
      <w:r w:rsidR="00EA3D92" w:rsidRPr="00681799">
        <w:rPr>
          <w:rFonts w:asciiTheme="majorBidi" w:hAnsiTheme="majorBidi" w:cstheme="majorBidi"/>
          <w:sz w:val="24"/>
          <w:szCs w:val="24"/>
        </w:rPr>
        <w:t>ce systèmereprésente</w:t>
      </w:r>
      <w:r w:rsidRPr="00681799">
        <w:rPr>
          <w:rFonts w:asciiTheme="majorBidi" w:hAnsiTheme="majorBidi" w:cstheme="majorBidi"/>
          <w:sz w:val="24"/>
          <w:szCs w:val="24"/>
        </w:rPr>
        <w:t xml:space="preserve"> un tournant majeur pour la mobilité. Il a fourni un outil </w:t>
      </w:r>
      <w:r w:rsidR="00EA3D92" w:rsidRPr="00681799">
        <w:rPr>
          <w:rFonts w:asciiTheme="majorBidi" w:hAnsiTheme="majorBidi" w:cstheme="majorBidi"/>
          <w:sz w:val="24"/>
          <w:szCs w:val="24"/>
        </w:rPr>
        <w:t xml:space="preserve">transparent </w:t>
      </w:r>
      <w:r w:rsidR="0010359D" w:rsidRPr="00681799">
        <w:rPr>
          <w:rFonts w:asciiTheme="majorBidi" w:hAnsiTheme="majorBidi" w:cstheme="majorBidi"/>
          <w:sz w:val="24"/>
          <w:szCs w:val="24"/>
        </w:rPr>
        <w:t xml:space="preserve">et </w:t>
      </w:r>
      <w:r w:rsidRPr="00681799">
        <w:rPr>
          <w:rFonts w:asciiTheme="majorBidi" w:hAnsiTheme="majorBidi" w:cstheme="majorBidi"/>
          <w:sz w:val="24"/>
          <w:szCs w:val="24"/>
        </w:rPr>
        <w:t xml:space="preserve">commun </w:t>
      </w:r>
      <w:r w:rsidR="00EA3D92" w:rsidRPr="00681799">
        <w:rPr>
          <w:rFonts w:asciiTheme="majorBidi" w:hAnsiTheme="majorBidi" w:cstheme="majorBidi"/>
          <w:sz w:val="24"/>
          <w:szCs w:val="24"/>
        </w:rPr>
        <w:t>de</w:t>
      </w:r>
      <w:r w:rsidRPr="00681799">
        <w:rPr>
          <w:rFonts w:asciiTheme="majorBidi" w:hAnsiTheme="majorBidi" w:cstheme="majorBidi"/>
          <w:sz w:val="24"/>
          <w:szCs w:val="24"/>
        </w:rPr>
        <w:t xml:space="preserve"> mesure et </w:t>
      </w:r>
      <w:r w:rsidR="00EA3D92" w:rsidRPr="00681799">
        <w:rPr>
          <w:rFonts w:asciiTheme="majorBidi" w:hAnsiTheme="majorBidi" w:cstheme="majorBidi"/>
          <w:sz w:val="24"/>
          <w:szCs w:val="24"/>
        </w:rPr>
        <w:t>reconnaissancedes</w:t>
      </w:r>
      <w:r w:rsidRPr="00681799">
        <w:rPr>
          <w:rFonts w:asciiTheme="majorBidi" w:hAnsiTheme="majorBidi" w:cstheme="majorBidi"/>
          <w:sz w:val="24"/>
          <w:szCs w:val="24"/>
        </w:rPr>
        <w:t xml:space="preserve"> crédits obtenus par les étudiants </w:t>
      </w:r>
      <w:r w:rsidR="00EA3D92" w:rsidRPr="00681799">
        <w:rPr>
          <w:rFonts w:asciiTheme="majorBidi" w:hAnsiTheme="majorBidi" w:cstheme="majorBidi"/>
          <w:sz w:val="24"/>
          <w:szCs w:val="24"/>
        </w:rPr>
        <w:t>participant au programme de mobilité.</w:t>
      </w:r>
      <w:r w:rsidRPr="00681799">
        <w:rPr>
          <w:rFonts w:asciiTheme="majorBidi" w:hAnsiTheme="majorBidi" w:cstheme="majorBidi"/>
          <w:sz w:val="24"/>
          <w:szCs w:val="24"/>
        </w:rPr>
        <w:t xml:space="preserve"> Bien </w:t>
      </w:r>
      <w:r w:rsidR="00EA3D92" w:rsidRPr="00681799">
        <w:rPr>
          <w:rFonts w:asciiTheme="majorBidi" w:hAnsiTheme="majorBidi" w:cstheme="majorBidi"/>
          <w:sz w:val="24"/>
          <w:szCs w:val="24"/>
        </w:rPr>
        <w:t>qu’il ne soit pas totalement parfait, ce system de crédits</w:t>
      </w:r>
      <w:r w:rsidRPr="00681799">
        <w:rPr>
          <w:rFonts w:asciiTheme="majorBidi" w:hAnsiTheme="majorBidi" w:cstheme="majorBidi"/>
          <w:sz w:val="24"/>
          <w:szCs w:val="24"/>
        </w:rPr>
        <w:t xml:space="preserve"> a </w:t>
      </w:r>
      <w:r w:rsidR="00EA3D92" w:rsidRPr="00681799">
        <w:rPr>
          <w:rFonts w:asciiTheme="majorBidi" w:hAnsiTheme="majorBidi" w:cstheme="majorBidi"/>
          <w:sz w:val="24"/>
          <w:szCs w:val="24"/>
        </w:rPr>
        <w:t xml:space="preserve">permis de réduire considérablement </w:t>
      </w:r>
      <w:r w:rsidRPr="00681799">
        <w:rPr>
          <w:rFonts w:asciiTheme="majorBidi" w:hAnsiTheme="majorBidi" w:cstheme="majorBidi"/>
          <w:sz w:val="24"/>
          <w:szCs w:val="24"/>
        </w:rPr>
        <w:t>les obstacles</w:t>
      </w:r>
      <w:r w:rsidR="00EA3D92" w:rsidRPr="00681799">
        <w:rPr>
          <w:rFonts w:asciiTheme="majorBidi" w:hAnsiTheme="majorBidi" w:cstheme="majorBidi"/>
          <w:sz w:val="24"/>
          <w:szCs w:val="24"/>
        </w:rPr>
        <w:t xml:space="preserve"> à la reconnaissance académique. De même</w:t>
      </w:r>
      <w:r w:rsidR="00336255">
        <w:rPr>
          <w:rFonts w:asciiTheme="majorBidi" w:hAnsiTheme="majorBidi" w:cstheme="majorBidi"/>
          <w:sz w:val="24"/>
          <w:szCs w:val="24"/>
        </w:rPr>
        <w:t>,</w:t>
      </w:r>
      <w:r w:rsidR="00EA3D92" w:rsidRPr="00681799">
        <w:rPr>
          <w:rFonts w:asciiTheme="majorBidi" w:hAnsiTheme="majorBidi" w:cstheme="majorBidi"/>
          <w:sz w:val="24"/>
          <w:szCs w:val="24"/>
        </w:rPr>
        <w:t xml:space="preserve"> ce système a poussé </w:t>
      </w:r>
      <w:r w:rsidRPr="00681799">
        <w:rPr>
          <w:rFonts w:asciiTheme="majorBidi" w:hAnsiTheme="majorBidi" w:cstheme="majorBidi"/>
          <w:sz w:val="24"/>
          <w:szCs w:val="24"/>
        </w:rPr>
        <w:t xml:space="preserve">les universités à harmoniser leurs </w:t>
      </w:r>
      <w:r w:rsidR="00EA3D92" w:rsidRPr="00681799">
        <w:rPr>
          <w:rFonts w:asciiTheme="majorBidi" w:hAnsiTheme="majorBidi" w:cstheme="majorBidi"/>
          <w:sz w:val="24"/>
          <w:szCs w:val="24"/>
        </w:rPr>
        <w:t xml:space="preserve">programmes d’enseignement et </w:t>
      </w:r>
      <w:r w:rsidRPr="00681799">
        <w:rPr>
          <w:rFonts w:asciiTheme="majorBidi" w:hAnsiTheme="majorBidi" w:cstheme="majorBidi"/>
          <w:sz w:val="24"/>
          <w:szCs w:val="24"/>
        </w:rPr>
        <w:t xml:space="preserve">à </w:t>
      </w:r>
      <w:r w:rsidRPr="00681799">
        <w:rPr>
          <w:rFonts w:asciiTheme="majorBidi" w:hAnsiTheme="majorBidi" w:cstheme="majorBidi"/>
          <w:sz w:val="24"/>
          <w:szCs w:val="24"/>
        </w:rPr>
        <w:lastRenderedPageBreak/>
        <w:t>clarifier l</w:t>
      </w:r>
      <w:r w:rsidR="00EA3D92" w:rsidRPr="00681799">
        <w:rPr>
          <w:rFonts w:asciiTheme="majorBidi" w:hAnsiTheme="majorBidi" w:cstheme="majorBidi"/>
          <w:sz w:val="24"/>
          <w:szCs w:val="24"/>
        </w:rPr>
        <w:t xml:space="preserve">eurs </w:t>
      </w:r>
      <w:r w:rsidR="0010359D" w:rsidRPr="00681799">
        <w:rPr>
          <w:rFonts w:asciiTheme="majorBidi" w:hAnsiTheme="majorBidi" w:cstheme="majorBidi"/>
          <w:sz w:val="24"/>
          <w:szCs w:val="24"/>
        </w:rPr>
        <w:t xml:space="preserve">méthodes d'évaluation </w:t>
      </w:r>
      <w:r w:rsidRPr="00681799">
        <w:rPr>
          <w:rFonts w:asciiTheme="majorBidi" w:hAnsiTheme="majorBidi" w:cstheme="majorBidi"/>
          <w:sz w:val="24"/>
          <w:szCs w:val="24"/>
        </w:rPr>
        <w:t>(European Association for Quality Assurance in Higher Education, 2015).</w:t>
      </w:r>
    </w:p>
    <w:p w:rsidR="006C1D54" w:rsidRPr="006C1D54" w:rsidRDefault="006C1D54" w:rsidP="006C1D54">
      <w:pPr>
        <w:pStyle w:val="Paragraphedeliste"/>
        <w:rPr>
          <w:rFonts w:asciiTheme="majorBidi" w:hAnsiTheme="majorBidi" w:cstheme="majorBidi"/>
          <w:sz w:val="24"/>
          <w:szCs w:val="24"/>
        </w:rPr>
      </w:pPr>
    </w:p>
    <w:p w:rsidR="006C1D54" w:rsidRPr="00681799" w:rsidRDefault="0072375D" w:rsidP="002176D6">
      <w:pPr>
        <w:pStyle w:val="Paragraphedeliste"/>
        <w:numPr>
          <w:ilvl w:val="0"/>
          <w:numId w:val="4"/>
        </w:numPr>
        <w:spacing w:after="0" w:line="276" w:lineRule="auto"/>
        <w:ind w:left="142" w:firstLine="142"/>
        <w:jc w:val="both"/>
        <w:rPr>
          <w:rFonts w:asciiTheme="majorBidi" w:hAnsiTheme="majorBidi" w:cstheme="majorBidi"/>
          <w:sz w:val="24"/>
          <w:szCs w:val="24"/>
        </w:rPr>
      </w:pPr>
      <w:r>
        <w:rPr>
          <w:rFonts w:asciiTheme="majorBidi" w:hAnsiTheme="majorBidi" w:cstheme="majorBidi"/>
          <w:sz w:val="24"/>
          <w:szCs w:val="24"/>
        </w:rPr>
        <w:t xml:space="preserve">Le contrat d'études : </w:t>
      </w:r>
      <w:r w:rsidR="006C1D54" w:rsidRPr="00681799">
        <w:rPr>
          <w:rFonts w:asciiTheme="majorBidi" w:hAnsiTheme="majorBidi" w:cstheme="majorBidi"/>
          <w:sz w:val="24"/>
          <w:szCs w:val="24"/>
        </w:rPr>
        <w:t>Avant qu’un étudiant effectue un déplacement via le programme de mobilité, les</w:t>
      </w:r>
      <w:r>
        <w:rPr>
          <w:rFonts w:asciiTheme="majorBidi" w:hAnsiTheme="majorBidi" w:cstheme="majorBidi"/>
          <w:sz w:val="24"/>
          <w:szCs w:val="24"/>
        </w:rPr>
        <w:t xml:space="preserve"> deux université (d’origine et </w:t>
      </w:r>
      <w:r w:rsidR="006C1D54" w:rsidRPr="00681799">
        <w:rPr>
          <w:rFonts w:asciiTheme="majorBidi" w:hAnsiTheme="majorBidi" w:cstheme="majorBidi"/>
          <w:sz w:val="24"/>
          <w:szCs w:val="24"/>
        </w:rPr>
        <w:t>d’accueil) s'accordent sur le programme de cours à suivre à l'étranger. Ce document</w:t>
      </w:r>
      <w:r w:rsidR="002176D6" w:rsidRPr="00681799">
        <w:rPr>
          <w:rFonts w:asciiTheme="majorBidi" w:hAnsiTheme="majorBidi" w:cstheme="majorBidi"/>
          <w:sz w:val="24"/>
          <w:szCs w:val="24"/>
        </w:rPr>
        <w:t>représentela</w:t>
      </w:r>
      <w:r w:rsidR="002176D6">
        <w:rPr>
          <w:rFonts w:asciiTheme="majorBidi" w:hAnsiTheme="majorBidi" w:cstheme="majorBidi"/>
          <w:sz w:val="24"/>
          <w:szCs w:val="24"/>
        </w:rPr>
        <w:t xml:space="preserve"> garantie</w:t>
      </w:r>
      <w:r w:rsidR="006C1D54" w:rsidRPr="00681799">
        <w:rPr>
          <w:rFonts w:asciiTheme="majorBidi" w:hAnsiTheme="majorBidi" w:cstheme="majorBidi"/>
          <w:sz w:val="24"/>
          <w:szCs w:val="24"/>
        </w:rPr>
        <w:t xml:space="preserve"> que les cours choisis conjointement sont pertinents et qui seront reconnus au retour de l'étudiant. Vu que le contrat d'études responsabilise les trois parties prenantes et formalise le processus d'apprentissage</w:t>
      </w:r>
      <w:r w:rsidR="002176D6">
        <w:rPr>
          <w:rFonts w:asciiTheme="majorBidi" w:hAnsiTheme="majorBidi" w:cstheme="majorBidi"/>
          <w:sz w:val="24"/>
          <w:szCs w:val="24"/>
        </w:rPr>
        <w:t>,</w:t>
      </w:r>
      <w:r w:rsidR="006C1D54" w:rsidRPr="00681799">
        <w:rPr>
          <w:rFonts w:asciiTheme="majorBidi" w:hAnsiTheme="majorBidi" w:cstheme="majorBidi"/>
          <w:sz w:val="24"/>
          <w:szCs w:val="24"/>
        </w:rPr>
        <w:t xml:space="preserve"> il est un puissant outil d'assurance </w:t>
      </w:r>
      <w:r w:rsidR="002176D6">
        <w:rPr>
          <w:rFonts w:asciiTheme="majorBidi" w:hAnsiTheme="majorBidi" w:cstheme="majorBidi"/>
          <w:sz w:val="24"/>
          <w:szCs w:val="24"/>
        </w:rPr>
        <w:t xml:space="preserve">de </w:t>
      </w:r>
      <w:r w:rsidR="006C1D54" w:rsidRPr="00681799">
        <w:rPr>
          <w:rFonts w:asciiTheme="majorBidi" w:hAnsiTheme="majorBidi" w:cstheme="majorBidi"/>
          <w:sz w:val="24"/>
          <w:szCs w:val="24"/>
        </w:rPr>
        <w:t>qualité au niveau individuel(Commission européenne, 2019</w:t>
      </w:r>
      <w:r w:rsidR="00662FDD" w:rsidRPr="00681799">
        <w:rPr>
          <w:rFonts w:asciiTheme="majorBidi" w:hAnsiTheme="majorBidi" w:cstheme="majorBidi"/>
          <w:sz w:val="24"/>
          <w:szCs w:val="24"/>
        </w:rPr>
        <w:t xml:space="preserve"> a</w:t>
      </w:r>
      <w:r w:rsidR="006C1D54" w:rsidRPr="00681799">
        <w:rPr>
          <w:rFonts w:asciiTheme="majorBidi" w:hAnsiTheme="majorBidi" w:cstheme="majorBidi"/>
          <w:sz w:val="24"/>
          <w:szCs w:val="24"/>
        </w:rPr>
        <w:t>).</w:t>
      </w:r>
    </w:p>
    <w:p w:rsidR="000B44D9" w:rsidRPr="002718F5" w:rsidRDefault="000B44D9" w:rsidP="000B44D9">
      <w:pPr>
        <w:pStyle w:val="Paragraphedeliste"/>
        <w:numPr>
          <w:ilvl w:val="1"/>
          <w:numId w:val="1"/>
        </w:numPr>
        <w:spacing w:line="276" w:lineRule="auto"/>
        <w:ind w:left="426"/>
        <w:jc w:val="both"/>
        <w:rPr>
          <w:rFonts w:asciiTheme="majorBidi" w:hAnsiTheme="majorBidi" w:cstheme="majorBidi"/>
          <w:sz w:val="24"/>
          <w:szCs w:val="24"/>
        </w:rPr>
      </w:pPr>
      <w:r w:rsidRPr="000B44D9">
        <w:rPr>
          <w:rFonts w:asciiTheme="majorBidi" w:hAnsiTheme="majorBidi" w:cstheme="majorBidi"/>
          <w:sz w:val="24"/>
          <w:szCs w:val="24"/>
        </w:rPr>
        <w:t>Le programme Erasmus l’assurance qualité via la mobilité</w:t>
      </w:r>
    </w:p>
    <w:p w:rsidR="002718F5" w:rsidRDefault="0038589E" w:rsidP="0038589E">
      <w:pPr>
        <w:spacing w:line="276" w:lineRule="auto"/>
        <w:ind w:firstLine="284"/>
        <w:jc w:val="both"/>
        <w:rPr>
          <w:rFonts w:asciiTheme="majorBidi" w:hAnsiTheme="majorBidi" w:cstheme="majorBidi"/>
          <w:sz w:val="24"/>
          <w:szCs w:val="24"/>
        </w:rPr>
      </w:pPr>
      <w:r w:rsidRPr="0038589E">
        <w:rPr>
          <w:rFonts w:asciiTheme="majorBidi" w:hAnsiTheme="majorBidi" w:cstheme="majorBidi"/>
          <w:sz w:val="24"/>
          <w:szCs w:val="24"/>
        </w:rPr>
        <w:t>Le rôle du programme Erasmus dans l'</w:t>
      </w:r>
      <w:r>
        <w:rPr>
          <w:rFonts w:asciiTheme="majorBidi" w:hAnsiTheme="majorBidi" w:cstheme="majorBidi"/>
          <w:sz w:val="24"/>
          <w:szCs w:val="24"/>
        </w:rPr>
        <w:t>assurance</w:t>
      </w:r>
      <w:r w:rsidRPr="0038589E">
        <w:rPr>
          <w:rFonts w:asciiTheme="majorBidi" w:hAnsiTheme="majorBidi" w:cstheme="majorBidi"/>
          <w:sz w:val="24"/>
          <w:szCs w:val="24"/>
        </w:rPr>
        <w:t xml:space="preserve"> de la qualité de l'enseignement supérieur ne repose pas uniquement sur des arguments théoriques. </w:t>
      </w:r>
      <w:r>
        <w:rPr>
          <w:rFonts w:asciiTheme="majorBidi" w:hAnsiTheme="majorBidi" w:cstheme="majorBidi"/>
          <w:sz w:val="24"/>
          <w:szCs w:val="24"/>
        </w:rPr>
        <w:t xml:space="preserve">Une moult de </w:t>
      </w:r>
      <w:r w:rsidRPr="0038589E">
        <w:rPr>
          <w:rFonts w:asciiTheme="majorBidi" w:hAnsiTheme="majorBidi" w:cstheme="majorBidi"/>
          <w:sz w:val="24"/>
          <w:szCs w:val="24"/>
        </w:rPr>
        <w:t xml:space="preserve">données et d’études ont permis de </w:t>
      </w:r>
      <w:r>
        <w:rPr>
          <w:rFonts w:asciiTheme="majorBidi" w:hAnsiTheme="majorBidi" w:cstheme="majorBidi"/>
          <w:sz w:val="24"/>
          <w:szCs w:val="24"/>
        </w:rPr>
        <w:t>démontrer</w:t>
      </w:r>
      <w:r w:rsidRPr="0038589E">
        <w:rPr>
          <w:rFonts w:asciiTheme="majorBidi" w:hAnsiTheme="majorBidi" w:cstheme="majorBidi"/>
          <w:sz w:val="24"/>
          <w:szCs w:val="24"/>
        </w:rPr>
        <w:t xml:space="preserve"> les bénéfices du programme, </w:t>
      </w:r>
      <w:r>
        <w:rPr>
          <w:rFonts w:asciiTheme="majorBidi" w:hAnsiTheme="majorBidi" w:cstheme="majorBidi"/>
          <w:sz w:val="24"/>
          <w:szCs w:val="24"/>
        </w:rPr>
        <w:t>que ce soit</w:t>
      </w:r>
      <w:r w:rsidRPr="0038589E">
        <w:rPr>
          <w:rFonts w:asciiTheme="majorBidi" w:hAnsiTheme="majorBidi" w:cstheme="majorBidi"/>
          <w:sz w:val="24"/>
          <w:szCs w:val="24"/>
        </w:rPr>
        <w:t xml:space="preserve"> pour les étudiants </w:t>
      </w:r>
      <w:r>
        <w:rPr>
          <w:rFonts w:asciiTheme="majorBidi" w:hAnsiTheme="majorBidi" w:cstheme="majorBidi"/>
          <w:sz w:val="24"/>
          <w:szCs w:val="24"/>
        </w:rPr>
        <w:t>comme pour</w:t>
      </w:r>
      <w:r w:rsidRPr="0038589E">
        <w:rPr>
          <w:rFonts w:asciiTheme="majorBidi" w:hAnsiTheme="majorBidi" w:cstheme="majorBidi"/>
          <w:sz w:val="24"/>
          <w:szCs w:val="24"/>
        </w:rPr>
        <w:t xml:space="preserve"> les institutions</w:t>
      </w:r>
      <w:r>
        <w:rPr>
          <w:rFonts w:asciiTheme="majorBidi" w:hAnsiTheme="majorBidi" w:cstheme="majorBidi"/>
          <w:sz w:val="24"/>
          <w:szCs w:val="24"/>
        </w:rPr>
        <w:t>.</w:t>
      </w:r>
    </w:p>
    <w:p w:rsidR="00B344D0" w:rsidRDefault="00B344D0" w:rsidP="007713F5">
      <w:pPr>
        <w:pStyle w:val="Paragraphedeliste"/>
        <w:numPr>
          <w:ilvl w:val="0"/>
          <w:numId w:val="5"/>
        </w:numPr>
        <w:spacing w:after="0" w:line="276" w:lineRule="auto"/>
        <w:jc w:val="both"/>
        <w:rPr>
          <w:rFonts w:asciiTheme="majorBidi" w:hAnsiTheme="majorBidi" w:cstheme="majorBidi"/>
          <w:sz w:val="24"/>
          <w:szCs w:val="24"/>
        </w:rPr>
      </w:pPr>
      <w:r w:rsidRPr="00B344D0">
        <w:rPr>
          <w:rFonts w:asciiTheme="majorBidi" w:hAnsiTheme="majorBidi" w:cstheme="majorBidi"/>
          <w:sz w:val="24"/>
          <w:szCs w:val="24"/>
        </w:rPr>
        <w:t xml:space="preserve">Évolution de la mobilité </w:t>
      </w:r>
      <w:r w:rsidR="00315351">
        <w:rPr>
          <w:rFonts w:asciiTheme="majorBidi" w:hAnsiTheme="majorBidi" w:cstheme="majorBidi"/>
          <w:sz w:val="24"/>
          <w:szCs w:val="24"/>
        </w:rPr>
        <w:t>d’études</w:t>
      </w:r>
    </w:p>
    <w:p w:rsidR="007713F5" w:rsidRDefault="007713F5" w:rsidP="007713F5">
      <w:pPr>
        <w:pStyle w:val="Paragraphedeliste"/>
        <w:spacing w:after="0" w:line="276" w:lineRule="auto"/>
        <w:ind w:left="714"/>
        <w:jc w:val="both"/>
        <w:rPr>
          <w:rFonts w:asciiTheme="majorBidi" w:hAnsiTheme="majorBidi" w:cstheme="majorBidi"/>
          <w:sz w:val="24"/>
          <w:szCs w:val="24"/>
        </w:rPr>
      </w:pPr>
    </w:p>
    <w:p w:rsidR="00B344D0" w:rsidRDefault="00B344D0" w:rsidP="00315351">
      <w:pPr>
        <w:pStyle w:val="Paragraphedeliste"/>
        <w:spacing w:line="276" w:lineRule="auto"/>
        <w:ind w:left="142" w:firstLine="284"/>
        <w:jc w:val="both"/>
        <w:rPr>
          <w:rFonts w:asciiTheme="majorBidi" w:hAnsiTheme="majorBidi" w:cstheme="majorBidi"/>
          <w:sz w:val="24"/>
          <w:szCs w:val="24"/>
        </w:rPr>
      </w:pPr>
      <w:r>
        <w:rPr>
          <w:rFonts w:asciiTheme="majorBidi" w:hAnsiTheme="majorBidi" w:cstheme="majorBidi"/>
          <w:sz w:val="24"/>
          <w:szCs w:val="24"/>
        </w:rPr>
        <w:t xml:space="preserve">Avec le programme Erasmus, la mobilité </w:t>
      </w:r>
      <w:r w:rsidR="00315351">
        <w:rPr>
          <w:rFonts w:asciiTheme="majorBidi" w:hAnsiTheme="majorBidi" w:cstheme="majorBidi"/>
          <w:sz w:val="24"/>
          <w:szCs w:val="24"/>
        </w:rPr>
        <w:t>d’études</w:t>
      </w:r>
      <w:r>
        <w:rPr>
          <w:rFonts w:asciiTheme="majorBidi" w:hAnsiTheme="majorBidi" w:cstheme="majorBidi"/>
          <w:sz w:val="24"/>
          <w:szCs w:val="24"/>
        </w:rPr>
        <w:t xml:space="preserve"> qui reste </w:t>
      </w:r>
      <w:r w:rsidRPr="00B344D0">
        <w:rPr>
          <w:rFonts w:asciiTheme="majorBidi" w:hAnsiTheme="majorBidi" w:cstheme="majorBidi"/>
          <w:sz w:val="24"/>
          <w:szCs w:val="24"/>
        </w:rPr>
        <w:t>un pilier de l'internationalisation de l'enseignement supérieur, a connu une dynamique notable entre 2018 et 2023</w:t>
      </w:r>
      <w:r>
        <w:rPr>
          <w:rFonts w:asciiTheme="majorBidi" w:hAnsiTheme="majorBidi" w:cstheme="majorBidi"/>
          <w:sz w:val="24"/>
          <w:szCs w:val="24"/>
        </w:rPr>
        <w:t>.</w:t>
      </w:r>
      <w:r w:rsidRPr="00B344D0">
        <w:rPr>
          <w:rFonts w:asciiTheme="majorBidi" w:hAnsiTheme="majorBidi" w:cstheme="majorBidi"/>
          <w:sz w:val="24"/>
          <w:szCs w:val="24"/>
        </w:rPr>
        <w:t xml:space="preserve"> L'analyse de cette période révèle une croissance significative, ponctuée de défis et d'adaptations, notamment en raison de la pandémie de COVID-19.</w:t>
      </w:r>
    </w:p>
    <w:p w:rsidR="00B344D0" w:rsidRPr="00B344D0" w:rsidRDefault="00B344D0" w:rsidP="00B344D0">
      <w:pPr>
        <w:pStyle w:val="Paragraphedeliste"/>
        <w:spacing w:line="276" w:lineRule="auto"/>
        <w:ind w:left="142" w:firstLine="142"/>
        <w:jc w:val="both"/>
        <w:rPr>
          <w:rFonts w:asciiTheme="majorBidi" w:hAnsiTheme="majorBidi" w:cstheme="majorBidi"/>
          <w:sz w:val="24"/>
          <w:szCs w:val="24"/>
        </w:rPr>
      </w:pPr>
    </w:p>
    <w:p w:rsidR="00B344D0" w:rsidRDefault="00B344D0" w:rsidP="007713F5">
      <w:pPr>
        <w:pStyle w:val="Paragraphedeliste"/>
        <w:spacing w:after="0" w:line="276" w:lineRule="auto"/>
        <w:ind w:left="142" w:firstLine="284"/>
        <w:jc w:val="both"/>
        <w:rPr>
          <w:rFonts w:asciiTheme="majorBidi" w:hAnsiTheme="majorBidi" w:cstheme="majorBidi"/>
          <w:sz w:val="24"/>
          <w:szCs w:val="24"/>
        </w:rPr>
      </w:pPr>
      <w:r w:rsidRPr="00B344D0">
        <w:rPr>
          <w:rFonts w:asciiTheme="majorBidi" w:hAnsiTheme="majorBidi" w:cstheme="majorBidi"/>
          <w:sz w:val="24"/>
          <w:szCs w:val="24"/>
        </w:rPr>
        <w:t xml:space="preserve">Selon les données de la Commission européenne, le nombre de participants aux mobilités a connu </w:t>
      </w:r>
      <w:r w:rsidRPr="00F45D1C">
        <w:rPr>
          <w:rFonts w:asciiTheme="majorBidi" w:hAnsiTheme="majorBidi" w:cstheme="majorBidi"/>
          <w:sz w:val="24"/>
          <w:szCs w:val="24"/>
        </w:rPr>
        <w:t>une augmentation progressive. En 2018, le programme a enregistré plus de 300 000 mobilités d'étudiants (Commission européenne, 2019</w:t>
      </w:r>
      <w:r w:rsidR="00662FDD" w:rsidRPr="00F45D1C">
        <w:rPr>
          <w:rFonts w:asciiTheme="majorBidi" w:hAnsiTheme="majorBidi" w:cstheme="majorBidi"/>
          <w:sz w:val="24"/>
          <w:szCs w:val="24"/>
        </w:rPr>
        <w:t xml:space="preserve"> b</w:t>
      </w:r>
      <w:r w:rsidRPr="00F45D1C">
        <w:rPr>
          <w:rFonts w:asciiTheme="majorBidi" w:hAnsiTheme="majorBidi" w:cstheme="majorBidi"/>
          <w:sz w:val="24"/>
          <w:szCs w:val="24"/>
        </w:rPr>
        <w:t>). Cette tendance à la hausse s'est poursuivie en 2019 avec plus de 330 000 participants pour la seule mobilité d'études (Agence Erasmus+, 2020). Ces chiffres témoignent de l'attractivité croissante du programme et de l'engagement des</w:t>
      </w:r>
      <w:r w:rsidRPr="00B344D0">
        <w:rPr>
          <w:rFonts w:asciiTheme="majorBidi" w:hAnsiTheme="majorBidi" w:cstheme="majorBidi"/>
          <w:sz w:val="24"/>
          <w:szCs w:val="24"/>
        </w:rPr>
        <w:t xml:space="preserve"> établissements d'enseignement supérieur à promouvoir la mobilité internationale.</w:t>
      </w:r>
    </w:p>
    <w:p w:rsidR="007713F5" w:rsidRDefault="007713F5" w:rsidP="007713F5">
      <w:pPr>
        <w:pStyle w:val="Paragraphedeliste"/>
        <w:spacing w:after="0" w:line="276" w:lineRule="auto"/>
        <w:ind w:left="142" w:firstLine="284"/>
        <w:jc w:val="both"/>
        <w:rPr>
          <w:rFonts w:asciiTheme="majorBidi" w:hAnsiTheme="majorBidi" w:cstheme="majorBidi"/>
          <w:sz w:val="24"/>
          <w:szCs w:val="24"/>
        </w:rPr>
      </w:pPr>
    </w:p>
    <w:p w:rsidR="003F75ED" w:rsidRDefault="008B5B82" w:rsidP="00954354">
      <w:pPr>
        <w:pStyle w:val="Paragraphedeliste"/>
        <w:spacing w:line="276" w:lineRule="auto"/>
        <w:ind w:left="142" w:firstLine="284"/>
        <w:jc w:val="both"/>
        <w:rPr>
          <w:rFonts w:asciiTheme="majorBidi" w:hAnsiTheme="majorBidi" w:cstheme="majorBidi"/>
          <w:sz w:val="24"/>
          <w:szCs w:val="24"/>
        </w:rPr>
      </w:pPr>
      <w:r>
        <w:rPr>
          <w:rFonts w:asciiTheme="majorBidi" w:hAnsiTheme="majorBidi" w:cstheme="majorBidi"/>
          <w:sz w:val="24"/>
          <w:szCs w:val="24"/>
        </w:rPr>
        <w:t>Durant la phase pandémique</w:t>
      </w:r>
      <w:r w:rsidR="00B344D0">
        <w:rPr>
          <w:rFonts w:asciiTheme="majorBidi" w:hAnsiTheme="majorBidi" w:cstheme="majorBidi"/>
          <w:sz w:val="24"/>
          <w:szCs w:val="24"/>
        </w:rPr>
        <w:t>(</w:t>
      </w:r>
      <w:r w:rsidR="00B344D0" w:rsidRPr="00B344D0">
        <w:rPr>
          <w:rFonts w:asciiTheme="majorBidi" w:hAnsiTheme="majorBidi" w:cstheme="majorBidi"/>
          <w:sz w:val="24"/>
          <w:szCs w:val="24"/>
        </w:rPr>
        <w:t>COVID-19</w:t>
      </w:r>
      <w:r w:rsidR="00B344D0">
        <w:rPr>
          <w:rFonts w:asciiTheme="majorBidi" w:hAnsiTheme="majorBidi" w:cstheme="majorBidi"/>
          <w:sz w:val="24"/>
          <w:szCs w:val="24"/>
        </w:rPr>
        <w:t xml:space="preserve">), </w:t>
      </w:r>
      <w:r>
        <w:rPr>
          <w:rFonts w:asciiTheme="majorBidi" w:hAnsiTheme="majorBidi" w:cstheme="majorBidi"/>
          <w:sz w:val="24"/>
          <w:szCs w:val="24"/>
        </w:rPr>
        <w:t>la</w:t>
      </w:r>
      <w:r w:rsidR="00B344D0">
        <w:rPr>
          <w:rFonts w:asciiTheme="majorBidi" w:hAnsiTheme="majorBidi" w:cstheme="majorBidi"/>
          <w:sz w:val="24"/>
          <w:szCs w:val="24"/>
        </w:rPr>
        <w:t xml:space="preserve"> croissance </w:t>
      </w:r>
      <w:r>
        <w:rPr>
          <w:rFonts w:asciiTheme="majorBidi" w:hAnsiTheme="majorBidi" w:cstheme="majorBidi"/>
          <w:sz w:val="24"/>
          <w:szCs w:val="24"/>
        </w:rPr>
        <w:t xml:space="preserve">de mobilité </w:t>
      </w:r>
      <w:r w:rsidR="00623B74">
        <w:rPr>
          <w:rFonts w:asciiTheme="majorBidi" w:hAnsiTheme="majorBidi" w:cstheme="majorBidi"/>
          <w:sz w:val="24"/>
          <w:szCs w:val="24"/>
        </w:rPr>
        <w:t xml:space="preserve">des </w:t>
      </w:r>
      <w:r>
        <w:rPr>
          <w:rFonts w:asciiTheme="majorBidi" w:hAnsiTheme="majorBidi" w:cstheme="majorBidi"/>
          <w:sz w:val="24"/>
          <w:szCs w:val="24"/>
        </w:rPr>
        <w:t xml:space="preserve">étudiants </w:t>
      </w:r>
      <w:r w:rsidR="00B344D0">
        <w:rPr>
          <w:rFonts w:asciiTheme="majorBidi" w:hAnsiTheme="majorBidi" w:cstheme="majorBidi"/>
          <w:sz w:val="24"/>
          <w:szCs w:val="24"/>
        </w:rPr>
        <w:t xml:space="preserve">a marqué un coup d’arrêt.En effet, </w:t>
      </w:r>
      <w:r w:rsidR="00B344D0" w:rsidRPr="00B344D0">
        <w:rPr>
          <w:rFonts w:asciiTheme="majorBidi" w:hAnsiTheme="majorBidi" w:cstheme="majorBidi"/>
          <w:sz w:val="24"/>
          <w:szCs w:val="24"/>
        </w:rPr>
        <w:t>les restri</w:t>
      </w:r>
      <w:r w:rsidR="00B344D0">
        <w:rPr>
          <w:rFonts w:asciiTheme="majorBidi" w:hAnsiTheme="majorBidi" w:cstheme="majorBidi"/>
          <w:sz w:val="24"/>
          <w:szCs w:val="24"/>
        </w:rPr>
        <w:t>ctions de voyage, le confinement</w:t>
      </w:r>
      <w:r w:rsidR="00B344D0" w:rsidRPr="00B344D0">
        <w:rPr>
          <w:rFonts w:asciiTheme="majorBidi" w:hAnsiTheme="majorBidi" w:cstheme="majorBidi"/>
          <w:sz w:val="24"/>
          <w:szCs w:val="24"/>
        </w:rPr>
        <w:t xml:space="preserve">, et la </w:t>
      </w:r>
      <w:r w:rsidR="00B344D0">
        <w:rPr>
          <w:rFonts w:asciiTheme="majorBidi" w:hAnsiTheme="majorBidi" w:cstheme="majorBidi"/>
          <w:sz w:val="24"/>
          <w:szCs w:val="24"/>
        </w:rPr>
        <w:t>mutation</w:t>
      </w:r>
      <w:r w:rsidR="00B344D0" w:rsidRPr="00B344D0">
        <w:rPr>
          <w:rFonts w:asciiTheme="majorBidi" w:hAnsiTheme="majorBidi" w:cstheme="majorBidi"/>
          <w:sz w:val="24"/>
          <w:szCs w:val="24"/>
        </w:rPr>
        <w:t xml:space="preserve"> vers l'enseignement à distance ont fortement impacté la mobilité physique. Bien que les données précises pour l'année 2020 et 2021 soient en retrait</w:t>
      </w:r>
      <w:r w:rsidR="00D709CE">
        <w:rPr>
          <w:rFonts w:asciiTheme="majorBidi" w:hAnsiTheme="majorBidi" w:cstheme="majorBidi"/>
          <w:sz w:val="24"/>
          <w:szCs w:val="24"/>
        </w:rPr>
        <w:t xml:space="preserve">, </w:t>
      </w:r>
      <w:r w:rsidR="00B344D0" w:rsidRPr="00B344D0">
        <w:rPr>
          <w:rFonts w:asciiTheme="majorBidi" w:hAnsiTheme="majorBidi" w:cstheme="majorBidi"/>
          <w:sz w:val="24"/>
          <w:szCs w:val="24"/>
        </w:rPr>
        <w:t xml:space="preserve">le programme a su </w:t>
      </w:r>
      <w:r w:rsidR="00B344D0" w:rsidRPr="00F45D1C">
        <w:rPr>
          <w:rFonts w:asciiTheme="majorBidi" w:hAnsiTheme="majorBidi" w:cstheme="majorBidi"/>
          <w:sz w:val="24"/>
          <w:szCs w:val="24"/>
        </w:rPr>
        <w:t xml:space="preserve">s'adapter </w:t>
      </w:r>
      <w:r w:rsidRPr="00F45D1C">
        <w:rPr>
          <w:rFonts w:asciiTheme="majorBidi" w:hAnsiTheme="majorBidi" w:cstheme="majorBidi"/>
          <w:sz w:val="24"/>
          <w:szCs w:val="24"/>
        </w:rPr>
        <w:t>via</w:t>
      </w:r>
      <w:r w:rsidR="00B344D0" w:rsidRPr="00F45D1C">
        <w:rPr>
          <w:rFonts w:asciiTheme="majorBidi" w:hAnsiTheme="majorBidi" w:cstheme="majorBidi"/>
          <w:sz w:val="24"/>
          <w:szCs w:val="24"/>
        </w:rPr>
        <w:t xml:space="preserve"> des formats de mobilité hybrides et virtuelles (Commission européenne, 2022). </w:t>
      </w:r>
      <w:r w:rsidRPr="00F45D1C">
        <w:rPr>
          <w:rFonts w:asciiTheme="majorBidi" w:hAnsiTheme="majorBidi" w:cstheme="majorBidi"/>
          <w:sz w:val="24"/>
          <w:szCs w:val="24"/>
        </w:rPr>
        <w:t>Cette</w:t>
      </w:r>
      <w:r>
        <w:rPr>
          <w:rFonts w:asciiTheme="majorBidi" w:hAnsiTheme="majorBidi" w:cstheme="majorBidi"/>
          <w:sz w:val="24"/>
          <w:szCs w:val="24"/>
        </w:rPr>
        <w:t xml:space="preserve"> initiative a </w:t>
      </w:r>
      <w:r w:rsidR="00B344D0" w:rsidRPr="00B344D0">
        <w:rPr>
          <w:rFonts w:asciiTheme="majorBidi" w:hAnsiTheme="majorBidi" w:cstheme="majorBidi"/>
          <w:sz w:val="24"/>
          <w:szCs w:val="24"/>
        </w:rPr>
        <w:t>permis de maintenir un certain niveau d'échanges</w:t>
      </w:r>
      <w:r w:rsidR="003F75ED">
        <w:rPr>
          <w:rFonts w:asciiTheme="majorBidi" w:hAnsiTheme="majorBidi" w:cstheme="majorBidi"/>
          <w:sz w:val="24"/>
          <w:szCs w:val="24"/>
        </w:rPr>
        <w:t>.</w:t>
      </w:r>
    </w:p>
    <w:p w:rsidR="00370418" w:rsidRPr="00370418" w:rsidRDefault="00370418" w:rsidP="00954354">
      <w:pPr>
        <w:pStyle w:val="Paragraphedeliste"/>
        <w:spacing w:line="276" w:lineRule="auto"/>
        <w:ind w:left="142" w:firstLine="284"/>
        <w:jc w:val="both"/>
        <w:rPr>
          <w:rFonts w:asciiTheme="majorBidi" w:hAnsiTheme="majorBidi" w:cstheme="majorBidi"/>
          <w:sz w:val="10"/>
          <w:szCs w:val="10"/>
        </w:rPr>
      </w:pPr>
    </w:p>
    <w:p w:rsidR="007E0391" w:rsidRPr="00FE2615" w:rsidRDefault="008C7592" w:rsidP="00370418">
      <w:pPr>
        <w:spacing w:line="276" w:lineRule="auto"/>
        <w:jc w:val="center"/>
        <w:rPr>
          <w:rFonts w:asciiTheme="majorBidi" w:hAnsiTheme="majorBidi" w:cstheme="majorBidi"/>
          <w:b/>
          <w:bCs/>
          <w:sz w:val="24"/>
          <w:szCs w:val="24"/>
        </w:rPr>
      </w:pPr>
      <w:r>
        <w:rPr>
          <w:rFonts w:asciiTheme="majorBidi" w:hAnsiTheme="majorBidi" w:cstheme="majorBidi"/>
          <w:b/>
          <w:bCs/>
          <w:sz w:val="24"/>
          <w:szCs w:val="24"/>
        </w:rPr>
        <w:t>Figure 02</w:t>
      </w:r>
      <w:r w:rsidRPr="00FE2615">
        <w:rPr>
          <w:rFonts w:asciiTheme="majorBidi" w:hAnsiTheme="majorBidi" w:cstheme="majorBidi"/>
          <w:b/>
          <w:bCs/>
          <w:sz w:val="24"/>
          <w:szCs w:val="24"/>
        </w:rPr>
        <w:t xml:space="preserve"> :</w:t>
      </w:r>
      <w:r w:rsidR="00370418" w:rsidRPr="00FE2615">
        <w:rPr>
          <w:rFonts w:asciiTheme="majorBidi" w:hAnsiTheme="majorBidi" w:cstheme="majorBidi"/>
          <w:b/>
          <w:bCs/>
          <w:sz w:val="24"/>
          <w:szCs w:val="24"/>
        </w:rPr>
        <w:t>L'impact du COVID-19 sur l'éducation mondiale</w:t>
      </w:r>
    </w:p>
    <w:p w:rsidR="007E0391" w:rsidRPr="00370418" w:rsidRDefault="00A7025B" w:rsidP="00954354">
      <w:pPr>
        <w:pStyle w:val="Paragraphedeliste"/>
        <w:spacing w:line="276" w:lineRule="auto"/>
        <w:ind w:left="142" w:firstLine="284"/>
        <w:jc w:val="both"/>
        <w:rPr>
          <w:rFonts w:asciiTheme="majorBidi" w:hAnsiTheme="majorBidi" w:cstheme="majorBidi"/>
          <w:sz w:val="24"/>
          <w:szCs w:val="24"/>
          <w:highlight w:val="cyan"/>
        </w:rPr>
      </w:pPr>
      <w:r>
        <w:rPr>
          <w:rFonts w:asciiTheme="majorBidi" w:hAnsiTheme="majorBidi" w:cstheme="majorBidi"/>
          <w:noProof/>
          <w:sz w:val="24"/>
          <w:szCs w:val="24"/>
          <w:lang w:eastAsia="fr-FR"/>
        </w:rPr>
        <w:pict>
          <v:shapetype id="_x0000_t202" coordsize="21600,21600" o:spt="202" path="m,l,21600r21600,l21600,xe">
            <v:stroke joinstyle="miter"/>
            <v:path gradientshapeok="t" o:connecttype="rect"/>
          </v:shapetype>
          <v:shape id="Text Box 1" o:spid="_x0000_s1026" type="#_x0000_t202" style="position:absolute;left:0;text-align:left;margin-left:75.1pt;margin-top:4.75pt;width:413.5pt;height:189pt;z-index:25165926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" fillcolor="white [3201]" strokeweight=".5pt">
            <v:textbox style="mso-fit-shape-to-text:t">
              <w:txbxContent>
                <w:p w:rsidR="00CB15F3" w:rsidRDefault="00CB15F3">
                  <w:r>
                    <w:rPr>
                      <w:noProof/>
                      <w:lang w:eastAsia="fr-FR"/>
                    </w:rPr>
                    <w:drawing>
                      <wp:inline distT="0" distB="0" distL="0" distR="0">
                        <wp:extent cx="3753416" cy="1905000"/>
                        <wp:effectExtent l="0" t="0" r="0" b="0"/>
                        <wp:docPr id="190624690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767072" cy="1911931"/>
                                </a:xfrm>
                                <a:prstGeom prst="rect">
                                  <a:avLst/>
                                </a:prstGeom>
                                <a:noFill/>
                                <a:ln>
                                  <a:noFill/>
                                </a:ln>
                              </pic:spPr>
                            </pic:pic>
                          </a:graphicData>
                        </a:graphic>
                      </wp:inline>
                    </w:drawing>
                  </w:r>
                </w:p>
              </w:txbxContent>
            </v:textbox>
          </v:shape>
        </w:pict>
      </w:r>
    </w:p>
    <w:p w:rsidR="007E0391" w:rsidRPr="00370418" w:rsidRDefault="007E0391" w:rsidP="00954354">
      <w:pPr>
        <w:pStyle w:val="Paragraphedeliste"/>
        <w:spacing w:line="276" w:lineRule="auto"/>
        <w:ind w:left="142" w:firstLine="284"/>
        <w:jc w:val="both"/>
        <w:rPr>
          <w:rFonts w:asciiTheme="majorBidi" w:hAnsiTheme="majorBidi" w:cstheme="majorBidi"/>
          <w:sz w:val="24"/>
          <w:szCs w:val="24"/>
          <w:highlight w:val="cyan"/>
        </w:rPr>
      </w:pPr>
    </w:p>
    <w:p w:rsidR="007E0391" w:rsidRPr="00370418" w:rsidRDefault="007E0391" w:rsidP="00954354">
      <w:pPr>
        <w:pStyle w:val="Paragraphedeliste"/>
        <w:spacing w:line="276" w:lineRule="auto"/>
        <w:ind w:left="142" w:firstLine="284"/>
        <w:jc w:val="both"/>
        <w:rPr>
          <w:rFonts w:asciiTheme="majorBidi" w:hAnsiTheme="majorBidi" w:cstheme="majorBidi"/>
          <w:sz w:val="24"/>
          <w:szCs w:val="24"/>
          <w:highlight w:val="cyan"/>
        </w:rPr>
      </w:pPr>
    </w:p>
    <w:p w:rsidR="007E0391" w:rsidRPr="00370418" w:rsidRDefault="007E0391" w:rsidP="00954354">
      <w:pPr>
        <w:pStyle w:val="Paragraphedeliste"/>
        <w:spacing w:line="276" w:lineRule="auto"/>
        <w:ind w:left="142" w:firstLine="284"/>
        <w:jc w:val="both"/>
        <w:rPr>
          <w:rFonts w:asciiTheme="majorBidi" w:hAnsiTheme="majorBidi" w:cstheme="majorBidi"/>
          <w:sz w:val="24"/>
          <w:szCs w:val="24"/>
          <w:highlight w:val="cyan"/>
        </w:rPr>
      </w:pPr>
    </w:p>
    <w:p w:rsidR="007E0391" w:rsidRPr="00370418" w:rsidRDefault="007E0391" w:rsidP="00954354">
      <w:pPr>
        <w:pStyle w:val="Paragraphedeliste"/>
        <w:spacing w:line="276" w:lineRule="auto"/>
        <w:ind w:left="142" w:firstLine="284"/>
        <w:jc w:val="both"/>
        <w:rPr>
          <w:rFonts w:asciiTheme="majorBidi" w:hAnsiTheme="majorBidi" w:cstheme="majorBidi"/>
          <w:sz w:val="24"/>
          <w:szCs w:val="24"/>
          <w:highlight w:val="cyan"/>
        </w:rPr>
      </w:pPr>
    </w:p>
    <w:p w:rsidR="007E0391" w:rsidRPr="00370418" w:rsidRDefault="007E0391" w:rsidP="00954354">
      <w:pPr>
        <w:pStyle w:val="Paragraphedeliste"/>
        <w:spacing w:line="276" w:lineRule="auto"/>
        <w:ind w:left="142" w:firstLine="284"/>
        <w:jc w:val="both"/>
        <w:rPr>
          <w:rFonts w:asciiTheme="majorBidi" w:hAnsiTheme="majorBidi" w:cstheme="majorBidi"/>
          <w:sz w:val="24"/>
          <w:szCs w:val="24"/>
          <w:highlight w:val="cyan"/>
        </w:rPr>
      </w:pPr>
    </w:p>
    <w:p w:rsidR="007E0391" w:rsidRPr="00370418" w:rsidRDefault="007E0391" w:rsidP="00954354">
      <w:pPr>
        <w:pStyle w:val="Paragraphedeliste"/>
        <w:spacing w:line="276" w:lineRule="auto"/>
        <w:ind w:left="142" w:firstLine="284"/>
        <w:jc w:val="both"/>
        <w:rPr>
          <w:rFonts w:asciiTheme="majorBidi" w:hAnsiTheme="majorBidi" w:cstheme="majorBidi"/>
          <w:sz w:val="24"/>
          <w:szCs w:val="24"/>
          <w:highlight w:val="cyan"/>
        </w:rPr>
      </w:pPr>
    </w:p>
    <w:p w:rsidR="007E0391" w:rsidRPr="00370418" w:rsidRDefault="007E0391" w:rsidP="00954354">
      <w:pPr>
        <w:pStyle w:val="Paragraphedeliste"/>
        <w:spacing w:line="276" w:lineRule="auto"/>
        <w:ind w:left="142" w:firstLine="284"/>
        <w:jc w:val="both"/>
        <w:rPr>
          <w:rFonts w:asciiTheme="majorBidi" w:hAnsiTheme="majorBidi" w:cstheme="majorBidi"/>
          <w:sz w:val="24"/>
          <w:szCs w:val="24"/>
          <w:highlight w:val="cyan"/>
        </w:rPr>
      </w:pPr>
    </w:p>
    <w:p w:rsidR="007E0391" w:rsidRDefault="007E0391" w:rsidP="00954354">
      <w:pPr>
        <w:pStyle w:val="Paragraphedeliste"/>
        <w:spacing w:line="276" w:lineRule="auto"/>
        <w:ind w:left="142" w:firstLine="284"/>
        <w:jc w:val="both"/>
        <w:rPr>
          <w:rFonts w:asciiTheme="majorBidi" w:hAnsiTheme="majorBidi" w:cstheme="majorBidi"/>
          <w:sz w:val="24"/>
          <w:szCs w:val="24"/>
          <w:highlight w:val="cyan"/>
        </w:rPr>
      </w:pPr>
    </w:p>
    <w:p w:rsidR="0072375D" w:rsidRDefault="0072375D" w:rsidP="00954354">
      <w:pPr>
        <w:pStyle w:val="Paragraphedeliste"/>
        <w:spacing w:line="276" w:lineRule="auto"/>
        <w:ind w:left="142" w:firstLine="284"/>
        <w:jc w:val="both"/>
        <w:rPr>
          <w:rFonts w:asciiTheme="majorBidi" w:hAnsiTheme="majorBidi" w:cstheme="majorBidi"/>
          <w:sz w:val="24"/>
          <w:szCs w:val="24"/>
          <w:highlight w:val="cyan"/>
        </w:rPr>
      </w:pPr>
    </w:p>
    <w:p w:rsidR="0072375D" w:rsidRDefault="0072375D" w:rsidP="00954354">
      <w:pPr>
        <w:pStyle w:val="Paragraphedeliste"/>
        <w:spacing w:line="276" w:lineRule="auto"/>
        <w:ind w:left="142" w:firstLine="284"/>
        <w:jc w:val="both"/>
        <w:rPr>
          <w:rFonts w:asciiTheme="majorBidi" w:hAnsiTheme="majorBidi" w:cstheme="majorBidi"/>
          <w:sz w:val="24"/>
          <w:szCs w:val="24"/>
          <w:highlight w:val="cyan"/>
        </w:rPr>
      </w:pPr>
    </w:p>
    <w:p w:rsidR="00370418" w:rsidRPr="008C7592" w:rsidRDefault="00370418" w:rsidP="00954354">
      <w:pPr>
        <w:pStyle w:val="Paragraphedeliste"/>
        <w:spacing w:line="276" w:lineRule="auto"/>
        <w:ind w:left="142" w:firstLine="284"/>
        <w:jc w:val="both"/>
        <w:rPr>
          <w:rFonts w:asciiTheme="majorBidi" w:hAnsiTheme="majorBidi" w:cstheme="majorBidi"/>
          <w:sz w:val="10"/>
          <w:szCs w:val="10"/>
          <w:highlight w:val="cyan"/>
        </w:rPr>
      </w:pPr>
    </w:p>
    <w:p w:rsidR="007E0391" w:rsidRDefault="00370418" w:rsidP="00370418">
      <w:pPr>
        <w:pStyle w:val="Paragraphedeliste"/>
        <w:spacing w:line="276" w:lineRule="auto"/>
        <w:ind w:left="142" w:firstLine="284"/>
        <w:jc w:val="center"/>
        <w:rPr>
          <w:rFonts w:asciiTheme="majorBidi" w:hAnsiTheme="majorBidi" w:cstheme="majorBidi"/>
          <w:sz w:val="24"/>
          <w:szCs w:val="24"/>
        </w:rPr>
      </w:pPr>
      <w:r w:rsidRPr="00BC333C">
        <w:rPr>
          <w:rFonts w:asciiTheme="majorBidi" w:hAnsiTheme="majorBidi" w:cstheme="majorBidi"/>
          <w:sz w:val="24"/>
          <w:szCs w:val="24"/>
        </w:rPr>
        <w:t>Source : (Statista,2020)</w:t>
      </w:r>
    </w:p>
    <w:p w:rsidR="00567645" w:rsidRPr="00C2436D" w:rsidRDefault="00C2436D" w:rsidP="00C2436D">
      <w:pPr>
        <w:pStyle w:val="Paragraphedeliste"/>
        <w:spacing w:line="276" w:lineRule="auto"/>
        <w:ind w:left="142" w:firstLine="284"/>
        <w:jc w:val="both"/>
        <w:rPr>
          <w:rFonts w:asciiTheme="majorBidi" w:hAnsiTheme="majorBidi" w:cstheme="majorBidi"/>
          <w:sz w:val="24"/>
          <w:szCs w:val="24"/>
        </w:rPr>
      </w:pPr>
      <w:r w:rsidRPr="00C2436D">
        <w:rPr>
          <w:rFonts w:asciiTheme="majorBidi" w:hAnsiTheme="majorBidi" w:cstheme="majorBidi"/>
          <w:sz w:val="24"/>
          <w:szCs w:val="24"/>
        </w:rPr>
        <w:t xml:space="preserve">Ce </w:t>
      </w:r>
      <w:r w:rsidR="00567645" w:rsidRPr="00C2436D">
        <w:rPr>
          <w:rFonts w:asciiTheme="majorBidi" w:hAnsiTheme="majorBidi" w:cstheme="majorBidi"/>
          <w:sz w:val="24"/>
          <w:szCs w:val="24"/>
        </w:rPr>
        <w:t>graphique</w:t>
      </w:r>
      <w:r w:rsidR="00610219">
        <w:rPr>
          <w:rFonts w:asciiTheme="majorBidi" w:hAnsiTheme="majorBidi" w:cstheme="majorBidi"/>
          <w:sz w:val="24"/>
          <w:szCs w:val="24"/>
        </w:rPr>
        <w:t>,</w:t>
      </w:r>
      <w:r w:rsidR="00567645" w:rsidRPr="00C2436D">
        <w:rPr>
          <w:rFonts w:asciiTheme="majorBidi" w:hAnsiTheme="majorBidi" w:cstheme="majorBidi"/>
          <w:sz w:val="24"/>
          <w:szCs w:val="24"/>
        </w:rPr>
        <w:t xml:space="preserve"> illustre de manière frappante l'ampleur sans précéde</w:t>
      </w:r>
      <w:r w:rsidR="00BD2D22">
        <w:rPr>
          <w:rFonts w:asciiTheme="majorBidi" w:hAnsiTheme="majorBidi" w:cstheme="majorBidi"/>
          <w:sz w:val="24"/>
          <w:szCs w:val="24"/>
        </w:rPr>
        <w:t xml:space="preserve">nt des perturbations éducatives, </w:t>
      </w:r>
      <w:r w:rsidR="00567645" w:rsidRPr="00C2436D">
        <w:rPr>
          <w:rFonts w:asciiTheme="majorBidi" w:hAnsiTheme="majorBidi" w:cstheme="majorBidi"/>
          <w:sz w:val="24"/>
          <w:szCs w:val="24"/>
        </w:rPr>
        <w:t>causées par la pandémie de COVID-19 au premier trimestre 2020. Les données de l'UNESCO</w:t>
      </w:r>
      <w:r w:rsidR="00BD2D22">
        <w:rPr>
          <w:rFonts w:asciiTheme="majorBidi" w:hAnsiTheme="majorBidi" w:cstheme="majorBidi"/>
          <w:sz w:val="24"/>
          <w:szCs w:val="24"/>
        </w:rPr>
        <w:t>,</w:t>
      </w:r>
      <w:r w:rsidR="00567645" w:rsidRPr="00C2436D">
        <w:rPr>
          <w:rFonts w:asciiTheme="majorBidi" w:hAnsiTheme="majorBidi" w:cstheme="majorBidi"/>
          <w:sz w:val="24"/>
          <w:szCs w:val="24"/>
        </w:rPr>
        <w:t xml:space="preserve"> révèlent une progression exponentielle du nombre d'apprenants affectés par les fermetures d'établissements à l'échelle mondiale. E</w:t>
      </w:r>
      <w:r w:rsidRPr="00C2436D">
        <w:rPr>
          <w:rFonts w:asciiTheme="majorBidi" w:hAnsiTheme="majorBidi" w:cstheme="majorBidi"/>
          <w:sz w:val="24"/>
          <w:szCs w:val="24"/>
        </w:rPr>
        <w:t>n l'espace d'un mois seulement</w:t>
      </w:r>
      <w:r w:rsidR="00567645" w:rsidRPr="00C2436D">
        <w:rPr>
          <w:rFonts w:asciiTheme="majorBidi" w:hAnsiTheme="majorBidi" w:cstheme="majorBidi"/>
          <w:sz w:val="24"/>
          <w:szCs w:val="24"/>
        </w:rPr>
        <w:t>, le nombre d'élèves et d'étudiants privés d'enseignement en présentiel est passé d</w:t>
      </w:r>
      <w:r w:rsidRPr="00C2436D">
        <w:rPr>
          <w:rFonts w:asciiTheme="majorBidi" w:hAnsiTheme="majorBidi" w:cstheme="majorBidi"/>
          <w:sz w:val="24"/>
          <w:szCs w:val="24"/>
        </w:rPr>
        <w:t xml:space="preserve">eprès de </w:t>
      </w:r>
      <w:r w:rsidR="00567645" w:rsidRPr="00C2436D">
        <w:rPr>
          <w:rFonts w:asciiTheme="majorBidi" w:hAnsiTheme="majorBidi" w:cstheme="majorBidi"/>
          <w:sz w:val="24"/>
          <w:szCs w:val="24"/>
        </w:rPr>
        <w:t>300 m</w:t>
      </w:r>
      <w:r w:rsidRPr="00C2436D">
        <w:rPr>
          <w:rFonts w:asciiTheme="majorBidi" w:hAnsiTheme="majorBidi" w:cstheme="majorBidi"/>
          <w:sz w:val="24"/>
          <w:szCs w:val="24"/>
        </w:rPr>
        <w:t>illions à près de 1,38 milliard.</w:t>
      </w:r>
    </w:p>
    <w:p w:rsidR="00567645" w:rsidRPr="00370418" w:rsidRDefault="00567645" w:rsidP="00370418">
      <w:pPr>
        <w:pStyle w:val="Paragraphedeliste"/>
        <w:spacing w:line="276" w:lineRule="auto"/>
        <w:ind w:left="142" w:firstLine="284"/>
        <w:jc w:val="both"/>
        <w:rPr>
          <w:rFonts w:asciiTheme="majorBidi" w:hAnsiTheme="majorBidi" w:cstheme="majorBidi"/>
          <w:sz w:val="24"/>
          <w:szCs w:val="24"/>
          <w:highlight w:val="cyan"/>
        </w:rPr>
      </w:pPr>
    </w:p>
    <w:p w:rsidR="00567645" w:rsidRPr="00F14514" w:rsidRDefault="00567645" w:rsidP="00F14514">
      <w:pPr>
        <w:pStyle w:val="Paragraphedeliste"/>
        <w:spacing w:line="276" w:lineRule="auto"/>
        <w:ind w:left="142" w:firstLine="284"/>
        <w:jc w:val="both"/>
        <w:rPr>
          <w:rFonts w:asciiTheme="majorBidi" w:hAnsiTheme="majorBidi" w:cstheme="majorBidi"/>
          <w:sz w:val="24"/>
          <w:szCs w:val="24"/>
        </w:rPr>
      </w:pPr>
      <w:r w:rsidRPr="00F14514">
        <w:rPr>
          <w:rFonts w:asciiTheme="majorBidi" w:hAnsiTheme="majorBidi" w:cstheme="majorBidi"/>
          <w:sz w:val="24"/>
          <w:szCs w:val="24"/>
        </w:rPr>
        <w:t>Cette croissance rapide des perturbations</w:t>
      </w:r>
      <w:r w:rsidR="00610219">
        <w:rPr>
          <w:rFonts w:asciiTheme="majorBidi" w:hAnsiTheme="majorBidi" w:cstheme="majorBidi"/>
          <w:sz w:val="24"/>
          <w:szCs w:val="24"/>
        </w:rPr>
        <w:t>,</w:t>
      </w:r>
      <w:r w:rsidRPr="00F14514">
        <w:rPr>
          <w:rFonts w:asciiTheme="majorBidi" w:hAnsiTheme="majorBidi" w:cstheme="majorBidi"/>
          <w:sz w:val="24"/>
          <w:szCs w:val="24"/>
        </w:rPr>
        <w:t xml:space="preserve"> reflète la propagation géographique du virus et l'adoption progressive par les gouvernements de mesures sanitaires restrictives. La période du </w:t>
      </w:r>
      <w:r w:rsidR="00C2436D" w:rsidRPr="00F14514">
        <w:rPr>
          <w:rFonts w:asciiTheme="majorBidi" w:hAnsiTheme="majorBidi" w:cstheme="majorBidi"/>
          <w:sz w:val="24"/>
          <w:szCs w:val="24"/>
        </w:rPr>
        <w:t xml:space="preserve">mois </w:t>
      </w:r>
      <w:r w:rsidR="00F14514">
        <w:rPr>
          <w:rFonts w:asciiTheme="majorBidi" w:hAnsiTheme="majorBidi" w:cstheme="majorBidi"/>
          <w:sz w:val="24"/>
          <w:szCs w:val="24"/>
        </w:rPr>
        <w:t>de M</w:t>
      </w:r>
      <w:r w:rsidRPr="00F14514">
        <w:rPr>
          <w:rFonts w:asciiTheme="majorBidi" w:hAnsiTheme="majorBidi" w:cstheme="majorBidi"/>
          <w:sz w:val="24"/>
          <w:szCs w:val="24"/>
        </w:rPr>
        <w:t>ars 2020 app</w:t>
      </w:r>
      <w:r w:rsidR="00C2436D" w:rsidRPr="00F14514">
        <w:rPr>
          <w:rFonts w:asciiTheme="majorBidi" w:hAnsiTheme="majorBidi" w:cstheme="majorBidi"/>
          <w:sz w:val="24"/>
          <w:szCs w:val="24"/>
        </w:rPr>
        <w:t>araît particulièrement critique</w:t>
      </w:r>
      <w:r w:rsidR="00610219">
        <w:rPr>
          <w:rFonts w:asciiTheme="majorBidi" w:hAnsiTheme="majorBidi" w:cstheme="majorBidi"/>
          <w:sz w:val="24"/>
          <w:szCs w:val="24"/>
        </w:rPr>
        <w:t>,</w:t>
      </w:r>
      <w:r w:rsidR="00C2436D" w:rsidRPr="00F14514">
        <w:rPr>
          <w:rFonts w:asciiTheme="majorBidi" w:hAnsiTheme="majorBidi" w:cstheme="majorBidi"/>
          <w:sz w:val="24"/>
          <w:szCs w:val="24"/>
        </w:rPr>
        <w:t xml:space="preserve"> durant laquelle </w:t>
      </w:r>
      <w:r w:rsidRPr="00F14514">
        <w:rPr>
          <w:rFonts w:asciiTheme="majorBidi" w:hAnsiTheme="majorBidi" w:cstheme="majorBidi"/>
          <w:sz w:val="24"/>
          <w:szCs w:val="24"/>
        </w:rPr>
        <w:t xml:space="preserve">l'Organisation Mondiale de la Santé </w:t>
      </w:r>
      <w:r w:rsidR="00C2436D" w:rsidRPr="00F14514">
        <w:rPr>
          <w:rFonts w:asciiTheme="majorBidi" w:hAnsiTheme="majorBidi" w:cstheme="majorBidi"/>
          <w:sz w:val="24"/>
          <w:szCs w:val="24"/>
        </w:rPr>
        <w:t xml:space="preserve">a déclaré le </w:t>
      </w:r>
      <w:r w:rsidRPr="00F14514">
        <w:rPr>
          <w:rFonts w:asciiTheme="majorBidi" w:hAnsiTheme="majorBidi" w:cstheme="majorBidi"/>
          <w:sz w:val="24"/>
          <w:szCs w:val="24"/>
        </w:rPr>
        <w:t>COVID-19 comme pandémie mondiale, déclenchant une vague de fermetures institutionnelles dans la plupart des pays.</w:t>
      </w:r>
    </w:p>
    <w:p w:rsidR="00567645" w:rsidRPr="00370418" w:rsidRDefault="00567645" w:rsidP="00370418">
      <w:pPr>
        <w:pStyle w:val="Paragraphedeliste"/>
        <w:spacing w:line="276" w:lineRule="auto"/>
        <w:ind w:left="142" w:firstLine="284"/>
        <w:jc w:val="both"/>
        <w:rPr>
          <w:rFonts w:asciiTheme="majorBidi" w:hAnsiTheme="majorBidi" w:cstheme="majorBidi"/>
          <w:sz w:val="24"/>
          <w:szCs w:val="24"/>
          <w:highlight w:val="cyan"/>
        </w:rPr>
      </w:pPr>
    </w:p>
    <w:p w:rsidR="00567645" w:rsidRPr="006B100A" w:rsidRDefault="00567645" w:rsidP="00BD2D22">
      <w:pPr>
        <w:pStyle w:val="Paragraphedeliste"/>
        <w:spacing w:line="276" w:lineRule="auto"/>
        <w:ind w:left="142" w:firstLine="284"/>
        <w:jc w:val="both"/>
        <w:rPr>
          <w:rFonts w:asciiTheme="majorBidi" w:hAnsiTheme="majorBidi" w:cstheme="majorBidi"/>
          <w:sz w:val="24"/>
          <w:szCs w:val="24"/>
        </w:rPr>
      </w:pPr>
      <w:r w:rsidRPr="006B100A">
        <w:rPr>
          <w:rFonts w:asciiTheme="majorBidi" w:hAnsiTheme="majorBidi" w:cstheme="majorBidi"/>
          <w:sz w:val="24"/>
          <w:szCs w:val="24"/>
        </w:rPr>
        <w:t xml:space="preserve">Les implications de ces perturbations massives sont multiples et profondes. Premièrement, elles ont révélé les inégalités préexistantes dans les systèmes éducatifs mondiaux, particulièrement dans les pays où l'accès aux solutions d'enseignement à distance </w:t>
      </w:r>
      <w:r w:rsidR="00BD2D22">
        <w:rPr>
          <w:rFonts w:asciiTheme="majorBidi" w:hAnsiTheme="majorBidi" w:cstheme="majorBidi"/>
          <w:sz w:val="24"/>
          <w:szCs w:val="24"/>
        </w:rPr>
        <w:t>sont</w:t>
      </w:r>
      <w:r w:rsidRPr="006B100A">
        <w:rPr>
          <w:rFonts w:asciiTheme="majorBidi" w:hAnsiTheme="majorBidi" w:cstheme="majorBidi"/>
          <w:sz w:val="24"/>
          <w:szCs w:val="24"/>
        </w:rPr>
        <w:t xml:space="preserve"> limité</w:t>
      </w:r>
      <w:r w:rsidR="00BD2D22">
        <w:rPr>
          <w:rFonts w:asciiTheme="majorBidi" w:hAnsiTheme="majorBidi" w:cstheme="majorBidi"/>
          <w:sz w:val="24"/>
          <w:szCs w:val="24"/>
        </w:rPr>
        <w:t>es</w:t>
      </w:r>
      <w:r w:rsidRPr="006B100A">
        <w:rPr>
          <w:rFonts w:asciiTheme="majorBidi" w:hAnsiTheme="majorBidi" w:cstheme="majorBidi"/>
          <w:sz w:val="24"/>
          <w:szCs w:val="24"/>
        </w:rPr>
        <w:t xml:space="preserve">. Deuxièmement, </w:t>
      </w:r>
      <w:r w:rsidR="006B100A" w:rsidRPr="006B100A">
        <w:rPr>
          <w:rFonts w:asciiTheme="majorBidi" w:hAnsiTheme="majorBidi" w:cstheme="majorBidi"/>
          <w:sz w:val="24"/>
          <w:szCs w:val="24"/>
        </w:rPr>
        <w:t xml:space="preserve">les conséquences psychosociales de cette rupture éducative pour les apprenants. Troisièmement, </w:t>
      </w:r>
      <w:r w:rsidRPr="006B100A">
        <w:rPr>
          <w:rFonts w:asciiTheme="majorBidi" w:hAnsiTheme="majorBidi" w:cstheme="majorBidi"/>
          <w:sz w:val="24"/>
          <w:szCs w:val="24"/>
        </w:rPr>
        <w:t xml:space="preserve">cette crise a forcé une transition </w:t>
      </w:r>
      <w:r w:rsidR="00BD2D22">
        <w:rPr>
          <w:rFonts w:asciiTheme="majorBidi" w:hAnsiTheme="majorBidi" w:cstheme="majorBidi"/>
          <w:sz w:val="24"/>
          <w:szCs w:val="24"/>
        </w:rPr>
        <w:t>brute</w:t>
      </w:r>
      <w:r w:rsidRPr="006B100A">
        <w:rPr>
          <w:rFonts w:asciiTheme="majorBidi" w:hAnsiTheme="majorBidi" w:cstheme="majorBidi"/>
          <w:sz w:val="24"/>
          <w:szCs w:val="24"/>
        </w:rPr>
        <w:t xml:space="preserve"> vers des modalités d'enseignement alternatives, testant la résilience des infrast</w:t>
      </w:r>
      <w:r w:rsidR="006B100A" w:rsidRPr="006B100A">
        <w:rPr>
          <w:rFonts w:asciiTheme="majorBidi" w:hAnsiTheme="majorBidi" w:cstheme="majorBidi"/>
          <w:sz w:val="24"/>
          <w:szCs w:val="24"/>
        </w:rPr>
        <w:t>ructures éducatives numériques.</w:t>
      </w:r>
    </w:p>
    <w:p w:rsidR="00567645" w:rsidRPr="00BC333C" w:rsidRDefault="00567645" w:rsidP="00370418">
      <w:pPr>
        <w:pStyle w:val="Paragraphedeliste"/>
        <w:spacing w:line="276" w:lineRule="auto"/>
        <w:ind w:left="142" w:firstLine="284"/>
        <w:jc w:val="both"/>
        <w:rPr>
          <w:rFonts w:asciiTheme="majorBidi" w:hAnsiTheme="majorBidi" w:cstheme="majorBidi"/>
          <w:sz w:val="24"/>
          <w:szCs w:val="24"/>
          <w:highlight w:val="yellow"/>
        </w:rPr>
      </w:pPr>
    </w:p>
    <w:p w:rsidR="0038589E" w:rsidRPr="003F75ED" w:rsidRDefault="003F75ED" w:rsidP="003F75ED">
      <w:pPr>
        <w:pStyle w:val="Paragraphedeliste"/>
        <w:spacing w:line="276" w:lineRule="auto"/>
        <w:ind w:left="142" w:firstLine="284"/>
        <w:jc w:val="both"/>
        <w:rPr>
          <w:rFonts w:asciiTheme="majorBidi" w:hAnsiTheme="majorBidi" w:cstheme="majorBidi"/>
          <w:sz w:val="24"/>
          <w:szCs w:val="24"/>
        </w:rPr>
      </w:pPr>
      <w:r w:rsidRPr="00F45D1C">
        <w:rPr>
          <w:rFonts w:asciiTheme="majorBidi" w:hAnsiTheme="majorBidi" w:cstheme="majorBidi"/>
          <w:sz w:val="24"/>
          <w:szCs w:val="24"/>
        </w:rPr>
        <w:t xml:space="preserve">A partir de l’année 2022, la mobilité physique a repris de manière significative avec un nombre de participants se rapprochant des niveaux pré-pandémiques. En effet, les </w:t>
      </w:r>
      <w:r w:rsidR="00B344D0" w:rsidRPr="00F45D1C">
        <w:rPr>
          <w:rFonts w:asciiTheme="majorBidi" w:hAnsiTheme="majorBidi" w:cstheme="majorBidi"/>
          <w:sz w:val="24"/>
          <w:szCs w:val="24"/>
        </w:rPr>
        <w:t xml:space="preserve">données indiquent une forte reprise </w:t>
      </w:r>
      <w:r w:rsidRPr="00F45D1C">
        <w:rPr>
          <w:rFonts w:asciiTheme="majorBidi" w:hAnsiTheme="majorBidi" w:cstheme="majorBidi"/>
          <w:sz w:val="24"/>
          <w:szCs w:val="24"/>
        </w:rPr>
        <w:t>de</w:t>
      </w:r>
      <w:r w:rsidR="00B344D0" w:rsidRPr="00F45D1C">
        <w:rPr>
          <w:rFonts w:asciiTheme="majorBidi" w:hAnsiTheme="majorBidi" w:cstheme="majorBidi"/>
          <w:sz w:val="24"/>
          <w:szCs w:val="24"/>
        </w:rPr>
        <w:t xml:space="preserve"> croissance</w:t>
      </w:r>
      <w:r w:rsidRPr="00F45D1C">
        <w:rPr>
          <w:rFonts w:asciiTheme="majorBidi" w:hAnsiTheme="majorBidi" w:cstheme="majorBidi"/>
          <w:sz w:val="24"/>
          <w:szCs w:val="24"/>
        </w:rPr>
        <w:t>. L</w:t>
      </w:r>
      <w:r w:rsidR="00B344D0" w:rsidRPr="00F45D1C">
        <w:rPr>
          <w:rFonts w:asciiTheme="majorBidi" w:hAnsiTheme="majorBidi" w:cstheme="majorBidi"/>
          <w:sz w:val="24"/>
          <w:szCs w:val="24"/>
        </w:rPr>
        <w:t xml:space="preserve">a mobilité </w:t>
      </w:r>
      <w:r w:rsidR="00874F67">
        <w:rPr>
          <w:rFonts w:asciiTheme="majorBidi" w:hAnsiTheme="majorBidi" w:cstheme="majorBidi"/>
          <w:sz w:val="24"/>
          <w:szCs w:val="24"/>
        </w:rPr>
        <w:t>des étudiants</w:t>
      </w:r>
      <w:r w:rsidR="00B344D0" w:rsidRPr="00F45D1C">
        <w:rPr>
          <w:rFonts w:asciiTheme="majorBidi" w:hAnsiTheme="majorBidi" w:cstheme="majorBidi"/>
          <w:sz w:val="24"/>
          <w:szCs w:val="24"/>
        </w:rPr>
        <w:t xml:space="preserve"> a dépassé les chiffres de 2019, avec près de 350 000 étudiants bénéficiant d'une expérience à l'étranger (Commission européenne, 2023).Les rapports </w:t>
      </w:r>
      <w:r w:rsidRPr="00F45D1C">
        <w:rPr>
          <w:rFonts w:asciiTheme="majorBidi" w:hAnsiTheme="majorBidi" w:cstheme="majorBidi"/>
          <w:sz w:val="24"/>
          <w:szCs w:val="24"/>
        </w:rPr>
        <w:t xml:space="preserve">de </w:t>
      </w:r>
      <w:r w:rsidR="00B344D0" w:rsidRPr="00F45D1C">
        <w:rPr>
          <w:rFonts w:asciiTheme="majorBidi" w:hAnsiTheme="majorBidi" w:cstheme="majorBidi"/>
          <w:sz w:val="24"/>
          <w:szCs w:val="24"/>
        </w:rPr>
        <w:t>2023</w:t>
      </w:r>
      <w:r w:rsidR="00610219">
        <w:rPr>
          <w:rFonts w:asciiTheme="majorBidi" w:hAnsiTheme="majorBidi" w:cstheme="majorBidi"/>
          <w:sz w:val="24"/>
          <w:szCs w:val="24"/>
        </w:rPr>
        <w:t>,</w:t>
      </w:r>
      <w:r w:rsidR="00B344D0" w:rsidRPr="00F45D1C">
        <w:rPr>
          <w:rFonts w:asciiTheme="majorBidi" w:hAnsiTheme="majorBidi" w:cstheme="majorBidi"/>
          <w:sz w:val="24"/>
          <w:szCs w:val="24"/>
        </w:rPr>
        <w:t xml:space="preserve"> confi</w:t>
      </w:r>
      <w:r w:rsidRPr="00F45D1C">
        <w:rPr>
          <w:rFonts w:asciiTheme="majorBidi" w:hAnsiTheme="majorBidi" w:cstheme="majorBidi"/>
          <w:sz w:val="24"/>
          <w:szCs w:val="24"/>
        </w:rPr>
        <w:t>rment cette dynamique positive</w:t>
      </w:r>
      <w:r w:rsidR="00610219">
        <w:rPr>
          <w:rFonts w:asciiTheme="majorBidi" w:hAnsiTheme="majorBidi" w:cstheme="majorBidi"/>
          <w:sz w:val="24"/>
          <w:szCs w:val="24"/>
        </w:rPr>
        <w:t>,</w:t>
      </w:r>
      <w:r w:rsidR="00B344D0" w:rsidRPr="00F45D1C">
        <w:rPr>
          <w:rFonts w:asciiTheme="majorBidi" w:hAnsiTheme="majorBidi" w:cstheme="majorBidi"/>
          <w:sz w:val="24"/>
          <w:szCs w:val="24"/>
        </w:rPr>
        <w:t xml:space="preserve">avec une diversification des destinations et une augmentation de la participation </w:t>
      </w:r>
      <w:r w:rsidRPr="00F45D1C">
        <w:rPr>
          <w:rFonts w:asciiTheme="majorBidi" w:hAnsiTheme="majorBidi" w:cstheme="majorBidi"/>
          <w:sz w:val="24"/>
          <w:szCs w:val="24"/>
        </w:rPr>
        <w:t xml:space="preserve">des pays partenaires de l'Est et </w:t>
      </w:r>
      <w:r w:rsidR="00B344D0" w:rsidRPr="00F45D1C">
        <w:rPr>
          <w:rFonts w:asciiTheme="majorBidi" w:hAnsiTheme="majorBidi" w:cstheme="majorBidi"/>
          <w:sz w:val="24"/>
          <w:szCs w:val="24"/>
        </w:rPr>
        <w:t xml:space="preserve">des </w:t>
      </w:r>
      <w:r w:rsidRPr="00F45D1C">
        <w:rPr>
          <w:rFonts w:asciiTheme="majorBidi" w:hAnsiTheme="majorBidi" w:cstheme="majorBidi"/>
          <w:sz w:val="24"/>
          <w:szCs w:val="24"/>
        </w:rPr>
        <w:t xml:space="preserve">pays des Balkans occidentaux </w:t>
      </w:r>
      <w:r w:rsidR="00B344D0" w:rsidRPr="00F45D1C">
        <w:rPr>
          <w:rFonts w:asciiTheme="majorBidi" w:hAnsiTheme="majorBidi" w:cstheme="majorBidi"/>
          <w:sz w:val="24"/>
          <w:szCs w:val="24"/>
        </w:rPr>
        <w:t>(European Education and Culture Executive Agency, 2023).</w:t>
      </w:r>
    </w:p>
    <w:p w:rsidR="0038589E" w:rsidRDefault="0038589E" w:rsidP="002718F5">
      <w:pPr>
        <w:pStyle w:val="Paragraphedeliste"/>
        <w:spacing w:line="276" w:lineRule="auto"/>
        <w:ind w:left="644"/>
        <w:jc w:val="both"/>
        <w:rPr>
          <w:rFonts w:asciiTheme="majorBidi" w:hAnsiTheme="majorBidi" w:cstheme="majorBidi"/>
          <w:sz w:val="24"/>
          <w:szCs w:val="24"/>
        </w:rPr>
      </w:pPr>
    </w:p>
    <w:p w:rsidR="002718F5" w:rsidRDefault="0070053E" w:rsidP="009B049B">
      <w:pPr>
        <w:pStyle w:val="Paragraphedeliste"/>
        <w:spacing w:line="276" w:lineRule="auto"/>
        <w:ind w:left="142" w:firstLine="284"/>
        <w:jc w:val="both"/>
        <w:rPr>
          <w:rFonts w:asciiTheme="majorBidi" w:hAnsiTheme="majorBidi" w:cstheme="majorBidi"/>
          <w:sz w:val="24"/>
          <w:szCs w:val="24"/>
        </w:rPr>
      </w:pPr>
      <w:r w:rsidRPr="0070053E">
        <w:rPr>
          <w:rFonts w:asciiTheme="majorBidi" w:hAnsiTheme="majorBidi" w:cstheme="majorBidi"/>
          <w:sz w:val="24"/>
          <w:szCs w:val="24"/>
        </w:rPr>
        <w:t>En résumé, l</w:t>
      </w:r>
      <w:r w:rsidR="00610219">
        <w:rPr>
          <w:rFonts w:asciiTheme="majorBidi" w:hAnsiTheme="majorBidi" w:cstheme="majorBidi"/>
          <w:sz w:val="24"/>
          <w:szCs w:val="24"/>
        </w:rPr>
        <w:t>es chiffres et données démontrent</w:t>
      </w:r>
      <w:r w:rsidRPr="0070053E">
        <w:rPr>
          <w:rFonts w:asciiTheme="majorBidi" w:hAnsiTheme="majorBidi" w:cstheme="majorBidi"/>
          <w:sz w:val="24"/>
          <w:szCs w:val="24"/>
        </w:rPr>
        <w:t xml:space="preserve"> la fiabilité et la solidité du programme Erasmus. Ceci peut </w:t>
      </w:r>
      <w:r w:rsidR="004431C6">
        <w:rPr>
          <w:rFonts w:asciiTheme="majorBidi" w:hAnsiTheme="majorBidi" w:cstheme="majorBidi"/>
          <w:sz w:val="24"/>
          <w:szCs w:val="24"/>
        </w:rPr>
        <w:t>ê</w:t>
      </w:r>
      <w:r w:rsidR="00610219">
        <w:rPr>
          <w:rFonts w:asciiTheme="majorBidi" w:hAnsiTheme="majorBidi" w:cstheme="majorBidi"/>
          <w:sz w:val="24"/>
          <w:szCs w:val="24"/>
        </w:rPr>
        <w:t xml:space="preserve">tre constaté via </w:t>
      </w:r>
      <w:r w:rsidRPr="0070053E">
        <w:rPr>
          <w:rFonts w:asciiTheme="majorBidi" w:hAnsiTheme="majorBidi" w:cstheme="majorBidi"/>
          <w:sz w:val="24"/>
          <w:szCs w:val="24"/>
        </w:rPr>
        <w:t xml:space="preserve">l'évolution de la mobilité </w:t>
      </w:r>
      <w:r w:rsidR="00623B74">
        <w:rPr>
          <w:rFonts w:asciiTheme="majorBidi" w:hAnsiTheme="majorBidi" w:cstheme="majorBidi"/>
          <w:sz w:val="24"/>
          <w:szCs w:val="24"/>
        </w:rPr>
        <w:t xml:space="preserve">des </w:t>
      </w:r>
      <w:r w:rsidR="009B049B">
        <w:rPr>
          <w:rFonts w:asciiTheme="majorBidi" w:hAnsiTheme="majorBidi" w:cstheme="majorBidi"/>
          <w:sz w:val="24"/>
          <w:szCs w:val="24"/>
        </w:rPr>
        <w:t>étudiants</w:t>
      </w:r>
      <w:r w:rsidRPr="0070053E">
        <w:rPr>
          <w:rFonts w:asciiTheme="majorBidi" w:hAnsiTheme="majorBidi" w:cstheme="majorBidi"/>
          <w:sz w:val="24"/>
          <w:szCs w:val="24"/>
        </w:rPr>
        <w:t xml:space="preserve"> entre 2018 et 2023 avec une trajectoire de croissance interrompue. En effet</w:t>
      </w:r>
      <w:r w:rsidR="004431C6">
        <w:rPr>
          <w:rFonts w:asciiTheme="majorBidi" w:hAnsiTheme="majorBidi" w:cstheme="majorBidi"/>
          <w:sz w:val="24"/>
          <w:szCs w:val="24"/>
        </w:rPr>
        <w:t>,</w:t>
      </w:r>
      <w:r w:rsidRPr="0070053E">
        <w:rPr>
          <w:rFonts w:asciiTheme="majorBidi" w:hAnsiTheme="majorBidi" w:cstheme="majorBidi"/>
          <w:sz w:val="24"/>
          <w:szCs w:val="24"/>
        </w:rPr>
        <w:t xml:space="preserve"> même suite au phénomène de pandémie</w:t>
      </w:r>
      <w:r w:rsidR="009B049B">
        <w:rPr>
          <w:rFonts w:asciiTheme="majorBidi" w:hAnsiTheme="majorBidi" w:cstheme="majorBidi"/>
          <w:sz w:val="24"/>
          <w:szCs w:val="24"/>
        </w:rPr>
        <w:t>,</w:t>
      </w:r>
      <w:r w:rsidRPr="0070053E">
        <w:rPr>
          <w:rFonts w:asciiTheme="majorBidi" w:hAnsiTheme="majorBidi" w:cstheme="majorBidi"/>
          <w:sz w:val="24"/>
          <w:szCs w:val="24"/>
        </w:rPr>
        <w:t xml:space="preserve"> la progression de la mobilité a rapidement repris grâce à l'adaptabilité du programme et </w:t>
      </w:r>
      <w:r w:rsidR="009B049B">
        <w:rPr>
          <w:rFonts w:asciiTheme="majorBidi" w:hAnsiTheme="majorBidi" w:cstheme="majorBidi"/>
          <w:sz w:val="24"/>
          <w:szCs w:val="24"/>
        </w:rPr>
        <w:t>à l'engagement des institutions.</w:t>
      </w:r>
    </w:p>
    <w:p w:rsidR="002D7A7F" w:rsidRDefault="002D7A7F" w:rsidP="000B44D9">
      <w:pPr>
        <w:pStyle w:val="Paragraphedeliste"/>
        <w:spacing w:line="276" w:lineRule="auto"/>
        <w:ind w:left="0"/>
        <w:jc w:val="both"/>
        <w:rPr>
          <w:rFonts w:asciiTheme="majorBidi" w:hAnsiTheme="majorBidi" w:cstheme="majorBidi"/>
          <w:sz w:val="24"/>
          <w:szCs w:val="24"/>
        </w:rPr>
      </w:pPr>
    </w:p>
    <w:p w:rsidR="002D7A7F" w:rsidRDefault="00566A99" w:rsidP="00566A99">
      <w:pPr>
        <w:pStyle w:val="Paragraphedeliste"/>
        <w:numPr>
          <w:ilvl w:val="0"/>
          <w:numId w:val="5"/>
        </w:numPr>
        <w:spacing w:after="0" w:line="276" w:lineRule="auto"/>
        <w:jc w:val="both"/>
        <w:rPr>
          <w:rFonts w:asciiTheme="majorBidi" w:hAnsiTheme="majorBidi" w:cstheme="majorBidi"/>
          <w:sz w:val="24"/>
          <w:szCs w:val="24"/>
        </w:rPr>
      </w:pPr>
      <w:r w:rsidRPr="00566A99">
        <w:rPr>
          <w:rFonts w:asciiTheme="majorBidi" w:hAnsiTheme="majorBidi" w:cstheme="majorBidi"/>
          <w:sz w:val="24"/>
          <w:szCs w:val="24"/>
        </w:rPr>
        <w:t xml:space="preserve">L’impact de la mobilité </w:t>
      </w:r>
      <w:r w:rsidR="001565D2">
        <w:rPr>
          <w:rFonts w:asciiTheme="majorBidi" w:hAnsiTheme="majorBidi" w:cstheme="majorBidi"/>
          <w:sz w:val="24"/>
          <w:szCs w:val="24"/>
        </w:rPr>
        <w:t xml:space="preserve">des </w:t>
      </w:r>
      <w:r w:rsidRPr="00566A99">
        <w:rPr>
          <w:rFonts w:asciiTheme="majorBidi" w:hAnsiTheme="majorBidi" w:cstheme="majorBidi"/>
          <w:sz w:val="24"/>
          <w:szCs w:val="24"/>
        </w:rPr>
        <w:t>étudiant</w:t>
      </w:r>
      <w:r w:rsidR="001565D2">
        <w:rPr>
          <w:rFonts w:asciiTheme="majorBidi" w:hAnsiTheme="majorBidi" w:cstheme="majorBidi"/>
          <w:sz w:val="24"/>
          <w:szCs w:val="24"/>
        </w:rPr>
        <w:t>s</w:t>
      </w:r>
      <w:r w:rsidRPr="00566A99">
        <w:rPr>
          <w:rFonts w:asciiTheme="majorBidi" w:hAnsiTheme="majorBidi" w:cstheme="majorBidi"/>
          <w:sz w:val="24"/>
          <w:szCs w:val="24"/>
        </w:rPr>
        <w:t xml:space="preserve"> au niveau individuel</w:t>
      </w:r>
    </w:p>
    <w:p w:rsidR="00566A99" w:rsidRDefault="00566A99" w:rsidP="00566A99">
      <w:pPr>
        <w:spacing w:after="0" w:line="276" w:lineRule="auto"/>
        <w:jc w:val="both"/>
        <w:rPr>
          <w:rFonts w:asciiTheme="majorBidi" w:hAnsiTheme="majorBidi" w:cstheme="majorBidi"/>
          <w:sz w:val="24"/>
          <w:szCs w:val="24"/>
        </w:rPr>
      </w:pPr>
    </w:p>
    <w:p w:rsidR="00566A99" w:rsidRDefault="00566A99" w:rsidP="003A7DAE">
      <w:pPr>
        <w:spacing w:after="0" w:line="276" w:lineRule="auto"/>
        <w:ind w:left="142" w:firstLine="284"/>
        <w:jc w:val="both"/>
        <w:rPr>
          <w:rFonts w:asciiTheme="majorBidi" w:hAnsiTheme="majorBidi" w:cstheme="majorBidi"/>
          <w:sz w:val="24"/>
          <w:szCs w:val="24"/>
        </w:rPr>
      </w:pPr>
      <w:r>
        <w:rPr>
          <w:rFonts w:asciiTheme="majorBidi" w:hAnsiTheme="majorBidi" w:cstheme="majorBidi"/>
          <w:sz w:val="24"/>
          <w:szCs w:val="24"/>
        </w:rPr>
        <w:t>L'expérience Erasmus, a</w:t>
      </w:r>
      <w:r w:rsidRPr="00566A99">
        <w:rPr>
          <w:rFonts w:asciiTheme="majorBidi" w:hAnsiTheme="majorBidi" w:cstheme="majorBidi"/>
          <w:sz w:val="24"/>
          <w:szCs w:val="24"/>
        </w:rPr>
        <w:t xml:space="preserve">u niveau individuel, se révèle être un puissant vecteur de transformation et d'amélioration de la qualité de l'enseignement supérieur. </w:t>
      </w:r>
      <w:r>
        <w:rPr>
          <w:rFonts w:asciiTheme="majorBidi" w:hAnsiTheme="majorBidi" w:cstheme="majorBidi"/>
          <w:sz w:val="24"/>
          <w:szCs w:val="24"/>
        </w:rPr>
        <w:t>Les</w:t>
      </w:r>
      <w:r w:rsidRPr="00566A99">
        <w:rPr>
          <w:rFonts w:asciiTheme="majorBidi" w:hAnsiTheme="majorBidi" w:cstheme="majorBidi"/>
          <w:sz w:val="24"/>
          <w:szCs w:val="24"/>
        </w:rPr>
        <w:t xml:space="preserve"> rapports confirment que 86% des participants ont </w:t>
      </w:r>
      <w:r w:rsidRPr="003235EA">
        <w:rPr>
          <w:rFonts w:asciiTheme="majorBidi" w:hAnsiTheme="majorBidi" w:cstheme="majorBidi"/>
          <w:sz w:val="24"/>
          <w:szCs w:val="24"/>
        </w:rPr>
        <w:t xml:space="preserve">développé leur compétence </w:t>
      </w:r>
      <w:r w:rsidR="00DC653D">
        <w:rPr>
          <w:rFonts w:asciiTheme="majorBidi" w:hAnsiTheme="majorBidi" w:cstheme="majorBidi"/>
          <w:sz w:val="24"/>
          <w:szCs w:val="24"/>
        </w:rPr>
        <w:t xml:space="preserve">linguistique et leur autonomie </w:t>
      </w:r>
      <w:r w:rsidRPr="003235EA">
        <w:rPr>
          <w:rFonts w:asciiTheme="majorBidi" w:hAnsiTheme="majorBidi" w:cstheme="majorBidi"/>
          <w:sz w:val="24"/>
          <w:szCs w:val="24"/>
        </w:rPr>
        <w:t>et de 93% leur capacité d'adaptation (Agence Erasmus+ France, 2021). De plus, au-delà de l'acquisition de compétences linguistiques, l'immersion dans une autre langue et une autre culture, enrichit profondément le parcours personnel et professionnel des étudiants, leur offrant une ouverture d'esprit et une perspective globale</w:t>
      </w:r>
      <w:r w:rsidR="00DC653D">
        <w:rPr>
          <w:rFonts w:asciiTheme="majorBidi" w:hAnsiTheme="majorBidi" w:cstheme="majorBidi"/>
          <w:sz w:val="24"/>
          <w:szCs w:val="24"/>
        </w:rPr>
        <w:t>,</w:t>
      </w:r>
      <w:r w:rsidRPr="003235EA">
        <w:rPr>
          <w:rFonts w:asciiTheme="majorBidi" w:hAnsiTheme="majorBidi" w:cstheme="majorBidi"/>
          <w:sz w:val="24"/>
          <w:szCs w:val="24"/>
        </w:rPr>
        <w:t xml:space="preserve"> ce qui renforcent l'impact et la pertinence de leur éducation supérieure (</w:t>
      </w:r>
      <w:r w:rsidR="003A7DAE" w:rsidRPr="003235EA">
        <w:rPr>
          <w:rFonts w:asciiTheme="majorBidi" w:hAnsiTheme="majorBidi" w:cstheme="majorBidi"/>
          <w:sz w:val="24"/>
          <w:szCs w:val="24"/>
        </w:rPr>
        <w:t>Agence Erasmus+ France, 2021</w:t>
      </w:r>
      <w:r w:rsidRPr="003235EA">
        <w:rPr>
          <w:rFonts w:asciiTheme="majorBidi" w:hAnsiTheme="majorBidi" w:cstheme="majorBidi"/>
          <w:sz w:val="24"/>
          <w:szCs w:val="24"/>
        </w:rPr>
        <w:t>).</w:t>
      </w:r>
    </w:p>
    <w:p w:rsidR="00566A99" w:rsidRDefault="00566A99" w:rsidP="00566A99">
      <w:pPr>
        <w:spacing w:after="0" w:line="276" w:lineRule="auto"/>
        <w:ind w:left="142" w:firstLine="284"/>
        <w:jc w:val="both"/>
        <w:rPr>
          <w:rFonts w:asciiTheme="majorBidi" w:hAnsiTheme="majorBidi" w:cstheme="majorBidi"/>
          <w:sz w:val="24"/>
          <w:szCs w:val="24"/>
        </w:rPr>
      </w:pPr>
    </w:p>
    <w:p w:rsidR="00C81FF5" w:rsidRDefault="00435CCB" w:rsidP="00961AEF">
      <w:pPr>
        <w:spacing w:after="0" w:line="276" w:lineRule="auto"/>
        <w:ind w:left="142" w:firstLine="284"/>
        <w:jc w:val="both"/>
        <w:rPr>
          <w:rFonts w:asciiTheme="majorBidi" w:hAnsiTheme="majorBidi" w:cstheme="majorBidi"/>
          <w:sz w:val="24"/>
          <w:szCs w:val="24"/>
        </w:rPr>
      </w:pPr>
      <w:r>
        <w:rPr>
          <w:rFonts w:asciiTheme="majorBidi" w:hAnsiTheme="majorBidi" w:cstheme="majorBidi"/>
          <w:sz w:val="24"/>
          <w:szCs w:val="24"/>
        </w:rPr>
        <w:t>Ces</w:t>
      </w:r>
      <w:r w:rsidR="00566A99" w:rsidRPr="00566A99">
        <w:rPr>
          <w:rFonts w:asciiTheme="majorBidi" w:hAnsiTheme="majorBidi" w:cstheme="majorBidi"/>
          <w:sz w:val="24"/>
          <w:szCs w:val="24"/>
        </w:rPr>
        <w:t xml:space="preserve"> études</w:t>
      </w:r>
      <w:r w:rsidR="00CC0D44">
        <w:rPr>
          <w:rFonts w:asciiTheme="majorBidi" w:hAnsiTheme="majorBidi" w:cstheme="majorBidi"/>
          <w:sz w:val="24"/>
          <w:szCs w:val="24"/>
        </w:rPr>
        <w:t>,</w:t>
      </w:r>
      <w:r w:rsidR="00566A99" w:rsidRPr="00566A99">
        <w:rPr>
          <w:rFonts w:asciiTheme="majorBidi" w:hAnsiTheme="majorBidi" w:cstheme="majorBidi"/>
          <w:sz w:val="24"/>
          <w:szCs w:val="24"/>
        </w:rPr>
        <w:t xml:space="preserve"> démontrent de manière cohérente que les étudiants</w:t>
      </w:r>
      <w:r w:rsidR="00CC0D44">
        <w:rPr>
          <w:rFonts w:asciiTheme="majorBidi" w:hAnsiTheme="majorBidi" w:cstheme="majorBidi"/>
          <w:sz w:val="24"/>
          <w:szCs w:val="24"/>
        </w:rPr>
        <w:t xml:space="preserve"> qui s'engagent dans un échange </w:t>
      </w:r>
      <w:r w:rsidR="00566A99" w:rsidRPr="00566A99">
        <w:rPr>
          <w:rFonts w:asciiTheme="majorBidi" w:hAnsiTheme="majorBidi" w:cstheme="majorBidi"/>
          <w:sz w:val="24"/>
          <w:szCs w:val="24"/>
        </w:rPr>
        <w:t>international</w:t>
      </w:r>
      <w:r w:rsidR="00961AEF">
        <w:rPr>
          <w:rFonts w:asciiTheme="majorBidi" w:hAnsiTheme="majorBidi" w:cstheme="majorBidi"/>
          <w:sz w:val="24"/>
          <w:szCs w:val="24"/>
        </w:rPr>
        <w:t>,</w:t>
      </w:r>
      <w:r w:rsidR="00566A99" w:rsidRPr="00566A99">
        <w:rPr>
          <w:rFonts w:asciiTheme="majorBidi" w:hAnsiTheme="majorBidi" w:cstheme="majorBidi"/>
          <w:sz w:val="24"/>
          <w:szCs w:val="24"/>
        </w:rPr>
        <w:t xml:space="preserve"> développent significativement un éventai</w:t>
      </w:r>
      <w:r w:rsidR="00961AEF">
        <w:rPr>
          <w:rFonts w:asciiTheme="majorBidi" w:hAnsiTheme="majorBidi" w:cstheme="majorBidi"/>
          <w:sz w:val="24"/>
          <w:szCs w:val="24"/>
        </w:rPr>
        <w:t>l de compétences non techniques</w:t>
      </w:r>
      <w:r w:rsidR="00566A99" w:rsidRPr="00566A99">
        <w:rPr>
          <w:rFonts w:asciiTheme="majorBidi" w:hAnsiTheme="majorBidi" w:cstheme="majorBidi"/>
          <w:sz w:val="24"/>
          <w:szCs w:val="24"/>
        </w:rPr>
        <w:t xml:space="preserve"> souvent désignées sous le terme de "soft skills".Parmi celles-ci, on retrouve </w:t>
      </w:r>
      <w:r w:rsidRPr="00566A99">
        <w:rPr>
          <w:rFonts w:asciiTheme="majorBidi" w:hAnsiTheme="majorBidi" w:cstheme="majorBidi"/>
          <w:sz w:val="24"/>
          <w:szCs w:val="24"/>
        </w:rPr>
        <w:t xml:space="preserve">une capacité accrue </w:t>
      </w:r>
      <w:r w:rsidRPr="003235EA">
        <w:rPr>
          <w:rFonts w:asciiTheme="majorBidi" w:hAnsiTheme="majorBidi" w:cstheme="majorBidi"/>
          <w:sz w:val="24"/>
          <w:szCs w:val="24"/>
        </w:rPr>
        <w:t xml:space="preserve">à la résolution de problèmes dans des contextes variés, </w:t>
      </w:r>
      <w:r w:rsidR="00566A99" w:rsidRPr="003235EA">
        <w:rPr>
          <w:rFonts w:asciiTheme="majorBidi" w:hAnsiTheme="majorBidi" w:cstheme="majorBidi"/>
          <w:sz w:val="24"/>
          <w:szCs w:val="24"/>
        </w:rPr>
        <w:t xml:space="preserve">l'adaptabilité face à </w:t>
      </w:r>
      <w:r w:rsidRPr="003235EA">
        <w:rPr>
          <w:rFonts w:asciiTheme="majorBidi" w:hAnsiTheme="majorBidi" w:cstheme="majorBidi"/>
          <w:sz w:val="24"/>
          <w:szCs w:val="24"/>
        </w:rPr>
        <w:t xml:space="preserve">de nouveaux </w:t>
      </w:r>
      <w:r w:rsidR="00566A99" w:rsidRPr="003235EA">
        <w:rPr>
          <w:rFonts w:asciiTheme="majorBidi" w:hAnsiTheme="majorBidi" w:cstheme="majorBidi"/>
          <w:sz w:val="24"/>
          <w:szCs w:val="24"/>
        </w:rPr>
        <w:t xml:space="preserve">environnements </w:t>
      </w:r>
      <w:r w:rsidR="00321434" w:rsidRPr="003235EA">
        <w:rPr>
          <w:rFonts w:asciiTheme="majorBidi" w:hAnsiTheme="majorBidi" w:cstheme="majorBidi"/>
          <w:sz w:val="24"/>
          <w:szCs w:val="24"/>
        </w:rPr>
        <w:t xml:space="preserve">complexes, </w:t>
      </w:r>
      <w:r w:rsidR="00566A99" w:rsidRPr="003235EA">
        <w:rPr>
          <w:rFonts w:asciiTheme="majorBidi" w:hAnsiTheme="majorBidi" w:cstheme="majorBidi"/>
          <w:sz w:val="24"/>
          <w:szCs w:val="24"/>
        </w:rPr>
        <w:t xml:space="preserve">des compétences en communication </w:t>
      </w:r>
      <w:r w:rsidR="00321434" w:rsidRPr="003235EA">
        <w:rPr>
          <w:rFonts w:asciiTheme="majorBidi" w:hAnsiTheme="majorBidi" w:cstheme="majorBidi"/>
          <w:sz w:val="24"/>
          <w:szCs w:val="24"/>
        </w:rPr>
        <w:t>interculturelle permettant d’</w:t>
      </w:r>
      <w:r w:rsidR="00566A99" w:rsidRPr="003235EA">
        <w:rPr>
          <w:rFonts w:asciiTheme="majorBidi" w:hAnsiTheme="majorBidi" w:cstheme="majorBidi"/>
          <w:sz w:val="24"/>
          <w:szCs w:val="24"/>
        </w:rPr>
        <w:t>interagir efficacement avec des personnes de différentes origines, et une autonomie renforcée</w:t>
      </w:r>
      <w:r w:rsidR="00CC0D44">
        <w:rPr>
          <w:rFonts w:asciiTheme="majorBidi" w:hAnsiTheme="majorBidi" w:cstheme="majorBidi"/>
          <w:sz w:val="24"/>
          <w:szCs w:val="24"/>
        </w:rPr>
        <w:t xml:space="preserve"> essentielle</w:t>
      </w:r>
      <w:r w:rsidR="00566A99" w:rsidRPr="003235EA">
        <w:rPr>
          <w:rFonts w:asciiTheme="majorBidi" w:hAnsiTheme="majorBidi" w:cstheme="majorBidi"/>
          <w:sz w:val="24"/>
          <w:szCs w:val="24"/>
        </w:rPr>
        <w:t xml:space="preserve"> dans un cadre académique et social étranger (Maiworm&amp;Teichler, 2007 ; </w:t>
      </w:r>
      <w:r w:rsidR="00D567F3" w:rsidRPr="003235EA">
        <w:rPr>
          <w:rFonts w:asciiTheme="majorBidi" w:hAnsiTheme="majorBidi" w:cstheme="majorBidi"/>
          <w:sz w:val="24"/>
          <w:szCs w:val="24"/>
        </w:rPr>
        <w:t>Andreou et al., 2023)</w:t>
      </w:r>
      <w:r w:rsidR="00C81FF5">
        <w:rPr>
          <w:rFonts w:asciiTheme="majorBidi" w:hAnsiTheme="majorBidi" w:cstheme="majorBidi"/>
          <w:sz w:val="24"/>
          <w:szCs w:val="24"/>
        </w:rPr>
        <w:t xml:space="preserve">. </w:t>
      </w:r>
    </w:p>
    <w:p w:rsidR="00C81FF5" w:rsidRDefault="00C81FF5" w:rsidP="00D567F3">
      <w:pPr>
        <w:spacing w:after="0" w:line="276" w:lineRule="auto"/>
        <w:ind w:left="142" w:firstLine="284"/>
        <w:jc w:val="both"/>
        <w:rPr>
          <w:rFonts w:asciiTheme="majorBidi" w:hAnsiTheme="majorBidi" w:cstheme="majorBidi"/>
          <w:sz w:val="24"/>
          <w:szCs w:val="24"/>
        </w:rPr>
      </w:pPr>
    </w:p>
    <w:p w:rsidR="00566A99" w:rsidRDefault="00566A99" w:rsidP="00C81FF5">
      <w:pPr>
        <w:spacing w:after="0" w:line="276" w:lineRule="auto"/>
        <w:ind w:left="142" w:firstLine="284"/>
        <w:jc w:val="both"/>
        <w:rPr>
          <w:rFonts w:asciiTheme="majorBidi" w:hAnsiTheme="majorBidi" w:cstheme="majorBidi"/>
          <w:sz w:val="24"/>
          <w:szCs w:val="24"/>
        </w:rPr>
      </w:pPr>
      <w:r w:rsidRPr="003235EA">
        <w:rPr>
          <w:rFonts w:asciiTheme="majorBidi" w:hAnsiTheme="majorBidi" w:cstheme="majorBidi"/>
          <w:sz w:val="24"/>
          <w:szCs w:val="24"/>
        </w:rPr>
        <w:t>Ces compétences</w:t>
      </w:r>
      <w:r w:rsidR="007E30E3">
        <w:rPr>
          <w:rFonts w:asciiTheme="majorBidi" w:hAnsiTheme="majorBidi" w:cstheme="majorBidi"/>
          <w:sz w:val="24"/>
          <w:szCs w:val="24"/>
        </w:rPr>
        <w:t>,</w:t>
      </w:r>
      <w:r w:rsidRPr="003235EA">
        <w:rPr>
          <w:rFonts w:asciiTheme="majorBidi" w:hAnsiTheme="majorBidi" w:cstheme="majorBidi"/>
          <w:sz w:val="24"/>
          <w:szCs w:val="24"/>
        </w:rPr>
        <w:t xml:space="preserve"> sont no</w:t>
      </w:r>
      <w:r w:rsidR="007E30E3">
        <w:rPr>
          <w:rFonts w:asciiTheme="majorBidi" w:hAnsiTheme="majorBidi" w:cstheme="majorBidi"/>
          <w:sz w:val="24"/>
          <w:szCs w:val="24"/>
        </w:rPr>
        <w:t>n seulement cruciales pour l’</w:t>
      </w:r>
      <w:r w:rsidRPr="003235EA">
        <w:rPr>
          <w:rFonts w:asciiTheme="majorBidi" w:hAnsiTheme="majorBidi" w:cstheme="majorBidi"/>
          <w:sz w:val="24"/>
          <w:szCs w:val="24"/>
        </w:rPr>
        <w:t>épanouissement personnel</w:t>
      </w:r>
      <w:r w:rsidR="00321434" w:rsidRPr="003235EA">
        <w:rPr>
          <w:rFonts w:asciiTheme="majorBidi" w:hAnsiTheme="majorBidi" w:cstheme="majorBidi"/>
          <w:sz w:val="24"/>
          <w:szCs w:val="24"/>
        </w:rPr>
        <w:t xml:space="preserve"> des étudiants</w:t>
      </w:r>
      <w:r w:rsidRPr="003235EA">
        <w:rPr>
          <w:rFonts w:asciiTheme="majorBidi" w:hAnsiTheme="majorBidi" w:cstheme="majorBidi"/>
          <w:sz w:val="24"/>
          <w:szCs w:val="24"/>
        </w:rPr>
        <w:t xml:space="preserve">, mais également très </w:t>
      </w:r>
      <w:r w:rsidR="00321434" w:rsidRPr="003235EA">
        <w:rPr>
          <w:rFonts w:asciiTheme="majorBidi" w:hAnsiTheme="majorBidi" w:cstheme="majorBidi"/>
          <w:sz w:val="24"/>
          <w:szCs w:val="24"/>
        </w:rPr>
        <w:t xml:space="preserve">recherchées et prisées </w:t>
      </w:r>
      <w:r w:rsidRPr="003235EA">
        <w:rPr>
          <w:rFonts w:asciiTheme="majorBidi" w:hAnsiTheme="majorBidi" w:cstheme="majorBidi"/>
          <w:sz w:val="24"/>
          <w:szCs w:val="24"/>
        </w:rPr>
        <w:t xml:space="preserve">sur le marché du travail </w:t>
      </w:r>
      <w:r w:rsidR="00321434" w:rsidRPr="003235EA">
        <w:rPr>
          <w:rFonts w:asciiTheme="majorBidi" w:hAnsiTheme="majorBidi" w:cstheme="majorBidi"/>
          <w:sz w:val="24"/>
          <w:szCs w:val="24"/>
        </w:rPr>
        <w:t>actuel</w:t>
      </w:r>
      <w:r w:rsidRPr="003235EA">
        <w:rPr>
          <w:rFonts w:asciiTheme="majorBidi" w:hAnsiTheme="majorBidi" w:cstheme="majorBidi"/>
          <w:sz w:val="24"/>
          <w:szCs w:val="24"/>
        </w:rPr>
        <w:t xml:space="preserve">, </w:t>
      </w:r>
      <w:r w:rsidR="00321434" w:rsidRPr="003235EA">
        <w:rPr>
          <w:rFonts w:asciiTheme="majorBidi" w:hAnsiTheme="majorBidi" w:cstheme="majorBidi"/>
          <w:sz w:val="24"/>
          <w:szCs w:val="24"/>
        </w:rPr>
        <w:t>ce qui contribue</w:t>
      </w:r>
      <w:r w:rsidRPr="003235EA">
        <w:rPr>
          <w:rFonts w:asciiTheme="majorBidi" w:hAnsiTheme="majorBidi" w:cstheme="majorBidi"/>
          <w:sz w:val="24"/>
          <w:szCs w:val="24"/>
        </w:rPr>
        <w:t xml:space="preserve"> directement à la valeur ajoutée de l</w:t>
      </w:r>
      <w:r w:rsidR="00C81FF5">
        <w:rPr>
          <w:rFonts w:asciiTheme="majorBidi" w:hAnsiTheme="majorBidi" w:cstheme="majorBidi"/>
          <w:sz w:val="24"/>
          <w:szCs w:val="24"/>
        </w:rPr>
        <w:t>a formation</w:t>
      </w:r>
      <w:r w:rsidRPr="003235EA">
        <w:rPr>
          <w:rFonts w:asciiTheme="majorBidi" w:hAnsiTheme="majorBidi" w:cstheme="majorBidi"/>
          <w:sz w:val="24"/>
          <w:szCs w:val="24"/>
        </w:rPr>
        <w:t xml:space="preserve"> uni</w:t>
      </w:r>
      <w:r w:rsidR="006640A4" w:rsidRPr="003235EA">
        <w:rPr>
          <w:rFonts w:asciiTheme="majorBidi" w:hAnsiTheme="majorBidi" w:cstheme="majorBidi"/>
          <w:sz w:val="24"/>
          <w:szCs w:val="24"/>
        </w:rPr>
        <w:t xml:space="preserve">versitaire </w:t>
      </w:r>
      <w:r w:rsidR="00C81FF5">
        <w:rPr>
          <w:rFonts w:asciiTheme="majorBidi" w:hAnsiTheme="majorBidi" w:cstheme="majorBidi"/>
          <w:sz w:val="24"/>
          <w:szCs w:val="24"/>
        </w:rPr>
        <w:t xml:space="preserve">des étudiants participants à la mobilité </w:t>
      </w:r>
      <w:r w:rsidR="006640A4" w:rsidRPr="003235EA">
        <w:rPr>
          <w:rFonts w:asciiTheme="majorBidi" w:hAnsiTheme="majorBidi" w:cstheme="majorBidi"/>
          <w:sz w:val="24"/>
          <w:szCs w:val="24"/>
        </w:rPr>
        <w:t>(ErasmusJobs, 2022).</w:t>
      </w:r>
    </w:p>
    <w:p w:rsidR="00F01635" w:rsidRDefault="00F01635" w:rsidP="00C81FF5">
      <w:pPr>
        <w:spacing w:after="0" w:line="276" w:lineRule="auto"/>
        <w:ind w:left="142" w:firstLine="284"/>
        <w:jc w:val="both"/>
        <w:rPr>
          <w:rFonts w:asciiTheme="majorBidi" w:hAnsiTheme="majorBidi" w:cstheme="majorBidi"/>
          <w:sz w:val="24"/>
          <w:szCs w:val="24"/>
        </w:rPr>
      </w:pPr>
    </w:p>
    <w:p w:rsidR="00566A99" w:rsidRDefault="00E04E62" w:rsidP="00E04E62">
      <w:pPr>
        <w:pStyle w:val="Paragraphedeliste"/>
        <w:numPr>
          <w:ilvl w:val="0"/>
          <w:numId w:val="5"/>
        </w:numPr>
        <w:spacing w:after="0" w:line="276" w:lineRule="auto"/>
        <w:jc w:val="both"/>
        <w:rPr>
          <w:rFonts w:asciiTheme="majorBidi" w:hAnsiTheme="majorBidi" w:cstheme="majorBidi"/>
          <w:sz w:val="24"/>
          <w:szCs w:val="24"/>
        </w:rPr>
      </w:pPr>
      <w:r w:rsidRPr="00E04E62">
        <w:rPr>
          <w:rFonts w:asciiTheme="majorBidi" w:hAnsiTheme="majorBidi" w:cstheme="majorBidi"/>
          <w:sz w:val="24"/>
          <w:szCs w:val="24"/>
        </w:rPr>
        <w:t xml:space="preserve">L’impact de la mobilité </w:t>
      </w:r>
      <w:r w:rsidR="00315351">
        <w:rPr>
          <w:rFonts w:asciiTheme="majorBidi" w:hAnsiTheme="majorBidi" w:cstheme="majorBidi"/>
          <w:sz w:val="24"/>
          <w:szCs w:val="24"/>
        </w:rPr>
        <w:t xml:space="preserve">des </w:t>
      </w:r>
      <w:r w:rsidRPr="00E04E62">
        <w:rPr>
          <w:rFonts w:asciiTheme="majorBidi" w:hAnsiTheme="majorBidi" w:cstheme="majorBidi"/>
          <w:sz w:val="24"/>
          <w:szCs w:val="24"/>
        </w:rPr>
        <w:t>étudiant</w:t>
      </w:r>
      <w:r w:rsidR="00315351">
        <w:rPr>
          <w:rFonts w:asciiTheme="majorBidi" w:hAnsiTheme="majorBidi" w:cstheme="majorBidi"/>
          <w:sz w:val="24"/>
          <w:szCs w:val="24"/>
        </w:rPr>
        <w:t>s</w:t>
      </w:r>
      <w:r w:rsidRPr="00E04E62">
        <w:rPr>
          <w:rFonts w:asciiTheme="majorBidi" w:hAnsiTheme="majorBidi" w:cstheme="majorBidi"/>
          <w:sz w:val="24"/>
          <w:szCs w:val="24"/>
        </w:rPr>
        <w:t xml:space="preserve"> au niveau institutionnel</w:t>
      </w:r>
    </w:p>
    <w:p w:rsidR="00566A99" w:rsidRDefault="00566A99" w:rsidP="00566A99">
      <w:pPr>
        <w:spacing w:after="0" w:line="276" w:lineRule="auto"/>
        <w:jc w:val="both"/>
        <w:rPr>
          <w:rFonts w:asciiTheme="majorBidi" w:hAnsiTheme="majorBidi" w:cstheme="majorBidi"/>
          <w:sz w:val="24"/>
          <w:szCs w:val="24"/>
        </w:rPr>
      </w:pPr>
    </w:p>
    <w:p w:rsidR="00566A99" w:rsidRDefault="00E04E62" w:rsidP="00C87568">
      <w:pPr>
        <w:spacing w:after="0" w:line="276" w:lineRule="auto"/>
        <w:ind w:left="142" w:firstLine="284"/>
        <w:jc w:val="both"/>
        <w:rPr>
          <w:rFonts w:asciiTheme="majorBidi" w:hAnsiTheme="majorBidi" w:cstheme="majorBidi"/>
          <w:sz w:val="24"/>
          <w:szCs w:val="24"/>
        </w:rPr>
      </w:pPr>
      <w:r w:rsidRPr="00E04E62">
        <w:rPr>
          <w:rFonts w:asciiTheme="majorBidi" w:hAnsiTheme="majorBidi" w:cstheme="majorBidi"/>
          <w:sz w:val="24"/>
          <w:szCs w:val="24"/>
        </w:rPr>
        <w:t xml:space="preserve">La mobilité </w:t>
      </w:r>
      <w:r w:rsidR="00C87568">
        <w:rPr>
          <w:rFonts w:asciiTheme="majorBidi" w:hAnsiTheme="majorBidi" w:cstheme="majorBidi"/>
          <w:sz w:val="24"/>
          <w:szCs w:val="24"/>
        </w:rPr>
        <w:t>des étudiants</w:t>
      </w:r>
      <w:r w:rsidRPr="00E04E62">
        <w:rPr>
          <w:rFonts w:asciiTheme="majorBidi" w:hAnsiTheme="majorBidi" w:cstheme="majorBidi"/>
          <w:sz w:val="24"/>
          <w:szCs w:val="24"/>
        </w:rPr>
        <w:t xml:space="preserve">, à travers le programme Erasmus, s'affirme comme un mécanisme d'assurance qualité au niveau institutionnel. L'établissement de partenariats pour la mobilité </w:t>
      </w:r>
      <w:r w:rsidR="00C87568">
        <w:rPr>
          <w:rFonts w:asciiTheme="majorBidi" w:hAnsiTheme="majorBidi" w:cstheme="majorBidi"/>
          <w:sz w:val="24"/>
          <w:szCs w:val="24"/>
        </w:rPr>
        <w:t xml:space="preserve">représente </w:t>
      </w:r>
      <w:r>
        <w:rPr>
          <w:rFonts w:asciiTheme="majorBidi" w:hAnsiTheme="majorBidi" w:cstheme="majorBidi"/>
          <w:sz w:val="24"/>
          <w:szCs w:val="24"/>
        </w:rPr>
        <w:t xml:space="preserve">lui-même </w:t>
      </w:r>
      <w:r w:rsidRPr="00E04E62">
        <w:rPr>
          <w:rFonts w:asciiTheme="majorBidi" w:hAnsiTheme="majorBidi" w:cstheme="majorBidi"/>
          <w:sz w:val="24"/>
          <w:szCs w:val="24"/>
        </w:rPr>
        <w:t>un exercice d'assurance qualité qui pousse les universités à comparer leurs programmes, leurs standards académiques et leurs pratiques pédagogiques.</w:t>
      </w:r>
    </w:p>
    <w:p w:rsidR="00566A99" w:rsidRDefault="00566A99" w:rsidP="00566A99">
      <w:pPr>
        <w:spacing w:after="0" w:line="276" w:lineRule="auto"/>
        <w:jc w:val="both"/>
        <w:rPr>
          <w:rFonts w:asciiTheme="majorBidi" w:hAnsiTheme="majorBidi" w:cstheme="majorBidi"/>
          <w:sz w:val="24"/>
          <w:szCs w:val="24"/>
        </w:rPr>
      </w:pPr>
    </w:p>
    <w:p w:rsidR="00566A99" w:rsidRPr="00E04E62" w:rsidRDefault="00E04E62" w:rsidP="00246687">
      <w:pPr>
        <w:spacing w:after="0" w:line="276" w:lineRule="auto"/>
        <w:ind w:left="142" w:firstLine="284"/>
        <w:jc w:val="both"/>
        <w:rPr>
          <w:rFonts w:asciiTheme="majorBidi" w:hAnsiTheme="majorBidi" w:cstheme="majorBidi"/>
          <w:sz w:val="24"/>
          <w:szCs w:val="24"/>
        </w:rPr>
      </w:pPr>
      <w:r w:rsidRPr="00E04E62">
        <w:rPr>
          <w:rFonts w:asciiTheme="majorBidi" w:hAnsiTheme="majorBidi" w:cstheme="majorBidi"/>
          <w:sz w:val="24"/>
          <w:szCs w:val="24"/>
        </w:rPr>
        <w:t>Cette dynamique de confrontation et d'échange</w:t>
      </w:r>
      <w:r w:rsidR="00A50938">
        <w:rPr>
          <w:rFonts w:asciiTheme="majorBidi" w:hAnsiTheme="majorBidi" w:cstheme="majorBidi"/>
          <w:sz w:val="24"/>
          <w:szCs w:val="24"/>
        </w:rPr>
        <w:t>,</w:t>
      </w:r>
      <w:r w:rsidR="00246687">
        <w:rPr>
          <w:rFonts w:asciiTheme="majorBidi" w:hAnsiTheme="majorBidi" w:cstheme="majorBidi"/>
          <w:sz w:val="24"/>
          <w:szCs w:val="24"/>
        </w:rPr>
        <w:t xml:space="preserve">notamment </w:t>
      </w:r>
      <w:r w:rsidRPr="00E04E62">
        <w:rPr>
          <w:rFonts w:asciiTheme="majorBidi" w:hAnsiTheme="majorBidi" w:cstheme="majorBidi"/>
          <w:sz w:val="24"/>
          <w:szCs w:val="24"/>
        </w:rPr>
        <w:t>de bonnes pratiques</w:t>
      </w:r>
      <w:r w:rsidR="00A50938">
        <w:rPr>
          <w:rFonts w:asciiTheme="majorBidi" w:hAnsiTheme="majorBidi" w:cstheme="majorBidi"/>
          <w:sz w:val="24"/>
          <w:szCs w:val="24"/>
        </w:rPr>
        <w:t>,</w:t>
      </w:r>
      <w:r w:rsidRPr="00E04E62">
        <w:rPr>
          <w:rFonts w:asciiTheme="majorBidi" w:hAnsiTheme="majorBidi" w:cstheme="majorBidi"/>
          <w:sz w:val="24"/>
          <w:szCs w:val="24"/>
        </w:rPr>
        <w:t xml:space="preserve"> est constante</w:t>
      </w:r>
      <w:r w:rsidR="00246687">
        <w:rPr>
          <w:rFonts w:asciiTheme="majorBidi" w:hAnsiTheme="majorBidi" w:cstheme="majorBidi"/>
          <w:sz w:val="24"/>
          <w:szCs w:val="24"/>
        </w:rPr>
        <w:t xml:space="preserve">. </w:t>
      </w:r>
      <w:r w:rsidR="00246687" w:rsidRPr="00E04E62">
        <w:rPr>
          <w:rFonts w:asciiTheme="majorBidi" w:hAnsiTheme="majorBidi" w:cstheme="majorBidi"/>
          <w:sz w:val="24"/>
          <w:szCs w:val="24"/>
        </w:rPr>
        <w:t>Les</w:t>
      </w:r>
      <w:r w:rsidRPr="00E04E62">
        <w:rPr>
          <w:rFonts w:asciiTheme="majorBidi" w:hAnsiTheme="majorBidi" w:cstheme="majorBidi"/>
          <w:sz w:val="24"/>
          <w:szCs w:val="24"/>
        </w:rPr>
        <w:t xml:space="preserve"> enseignants sont exposés à des </w:t>
      </w:r>
      <w:r w:rsidR="00246687">
        <w:rPr>
          <w:rFonts w:asciiTheme="majorBidi" w:hAnsiTheme="majorBidi" w:cstheme="majorBidi"/>
          <w:sz w:val="24"/>
          <w:szCs w:val="24"/>
        </w:rPr>
        <w:t>procédés</w:t>
      </w:r>
      <w:r w:rsidR="00C87568">
        <w:rPr>
          <w:rFonts w:asciiTheme="majorBidi" w:hAnsiTheme="majorBidi" w:cstheme="majorBidi"/>
          <w:sz w:val="24"/>
          <w:szCs w:val="24"/>
        </w:rPr>
        <w:t xml:space="preserve"> pédagogiques différent</w:t>
      </w:r>
      <w:r w:rsidRPr="00E04E62">
        <w:rPr>
          <w:rFonts w:asciiTheme="majorBidi" w:hAnsiTheme="majorBidi" w:cstheme="majorBidi"/>
          <w:sz w:val="24"/>
          <w:szCs w:val="24"/>
        </w:rPr>
        <w:t xml:space="preserve">s, les programmes sont régulièrement revus </w:t>
      </w:r>
      <w:r w:rsidR="00246687">
        <w:rPr>
          <w:rFonts w:asciiTheme="majorBidi" w:hAnsiTheme="majorBidi" w:cstheme="majorBidi"/>
          <w:sz w:val="24"/>
          <w:szCs w:val="24"/>
        </w:rPr>
        <w:t xml:space="preserve">afin de </w:t>
      </w:r>
      <w:r w:rsidRPr="00E04E62">
        <w:rPr>
          <w:rFonts w:asciiTheme="majorBidi" w:hAnsiTheme="majorBidi" w:cstheme="majorBidi"/>
          <w:sz w:val="24"/>
          <w:szCs w:val="24"/>
        </w:rPr>
        <w:t xml:space="preserve">s'aligner </w:t>
      </w:r>
      <w:r w:rsidR="00246687">
        <w:rPr>
          <w:rFonts w:asciiTheme="majorBidi" w:hAnsiTheme="majorBidi" w:cstheme="majorBidi"/>
          <w:sz w:val="24"/>
          <w:szCs w:val="24"/>
        </w:rPr>
        <w:t xml:space="preserve">avec les </w:t>
      </w:r>
      <w:r w:rsidRPr="00E04E62">
        <w:rPr>
          <w:rFonts w:asciiTheme="majorBidi" w:hAnsiTheme="majorBidi" w:cstheme="majorBidi"/>
          <w:sz w:val="24"/>
          <w:szCs w:val="24"/>
        </w:rPr>
        <w:t xml:space="preserve">standards internationaux, et les services administratifs s'améliorent pour mieux accueillir les étudiants internationaux </w:t>
      </w:r>
      <w:r w:rsidRPr="0070535C">
        <w:rPr>
          <w:rFonts w:asciiTheme="majorBidi" w:hAnsiTheme="majorBidi" w:cstheme="majorBidi"/>
          <w:sz w:val="24"/>
          <w:szCs w:val="24"/>
        </w:rPr>
        <w:t>(Commi</w:t>
      </w:r>
      <w:r w:rsidR="00246687" w:rsidRPr="0070535C">
        <w:rPr>
          <w:rFonts w:asciiTheme="majorBidi" w:hAnsiTheme="majorBidi" w:cstheme="majorBidi"/>
          <w:sz w:val="24"/>
          <w:szCs w:val="24"/>
        </w:rPr>
        <w:t xml:space="preserve">ssion européenne, 2022). Cette </w:t>
      </w:r>
      <w:r w:rsidRPr="0070535C">
        <w:rPr>
          <w:rFonts w:asciiTheme="majorBidi" w:hAnsiTheme="majorBidi" w:cstheme="majorBidi"/>
          <w:sz w:val="24"/>
          <w:szCs w:val="24"/>
        </w:rPr>
        <w:t xml:space="preserve">pression </w:t>
      </w:r>
      <w:r w:rsidR="00246687" w:rsidRPr="0070535C">
        <w:rPr>
          <w:rFonts w:asciiTheme="majorBidi" w:hAnsiTheme="majorBidi" w:cstheme="majorBidi"/>
          <w:sz w:val="24"/>
          <w:szCs w:val="24"/>
        </w:rPr>
        <w:t xml:space="preserve">effectuée </w:t>
      </w:r>
      <w:r w:rsidRPr="0070535C">
        <w:rPr>
          <w:rFonts w:asciiTheme="majorBidi" w:hAnsiTheme="majorBidi" w:cstheme="majorBidi"/>
          <w:sz w:val="24"/>
          <w:szCs w:val="24"/>
        </w:rPr>
        <w:t>par les pairs</w:t>
      </w:r>
      <w:r w:rsidR="00A50938">
        <w:rPr>
          <w:rFonts w:asciiTheme="majorBidi" w:hAnsiTheme="majorBidi" w:cstheme="majorBidi"/>
          <w:sz w:val="24"/>
          <w:szCs w:val="24"/>
        </w:rPr>
        <w:t>,</w:t>
      </w:r>
      <w:r w:rsidRPr="0070535C">
        <w:rPr>
          <w:rFonts w:asciiTheme="majorBidi" w:hAnsiTheme="majorBidi" w:cstheme="majorBidi"/>
          <w:sz w:val="24"/>
          <w:szCs w:val="24"/>
        </w:rPr>
        <w:t>force les institutions à se remettre en question</w:t>
      </w:r>
      <w:r w:rsidR="00246687" w:rsidRPr="0070535C">
        <w:rPr>
          <w:rFonts w:asciiTheme="majorBidi" w:hAnsiTheme="majorBidi" w:cstheme="majorBidi"/>
          <w:sz w:val="24"/>
          <w:szCs w:val="24"/>
        </w:rPr>
        <w:t xml:space="preserve"> et </w:t>
      </w:r>
      <w:r w:rsidRPr="0070535C">
        <w:rPr>
          <w:rFonts w:asciiTheme="majorBidi" w:hAnsiTheme="majorBidi" w:cstheme="majorBidi"/>
          <w:sz w:val="24"/>
          <w:szCs w:val="24"/>
        </w:rPr>
        <w:t xml:space="preserve">à </w:t>
      </w:r>
      <w:r w:rsidR="00246687" w:rsidRPr="0070535C">
        <w:rPr>
          <w:rFonts w:asciiTheme="majorBidi" w:hAnsiTheme="majorBidi" w:cstheme="majorBidi"/>
          <w:sz w:val="24"/>
          <w:szCs w:val="24"/>
        </w:rPr>
        <w:t>s’orienter vers</w:t>
      </w:r>
      <w:r w:rsidRPr="0070535C">
        <w:rPr>
          <w:rFonts w:asciiTheme="majorBidi" w:hAnsiTheme="majorBidi" w:cstheme="majorBidi"/>
          <w:sz w:val="24"/>
          <w:szCs w:val="24"/>
        </w:rPr>
        <w:t xml:space="preserve"> l'amélioration continue dans leurs stratégies de développement (Teichler, 2011).</w:t>
      </w:r>
    </w:p>
    <w:p w:rsidR="00566A99" w:rsidRDefault="00566A99" w:rsidP="00566A99">
      <w:pPr>
        <w:spacing w:after="0" w:line="276" w:lineRule="auto"/>
        <w:jc w:val="both"/>
        <w:rPr>
          <w:rFonts w:asciiTheme="majorBidi" w:hAnsiTheme="majorBidi" w:cstheme="majorBidi"/>
          <w:sz w:val="24"/>
          <w:szCs w:val="24"/>
        </w:rPr>
      </w:pPr>
    </w:p>
    <w:p w:rsidR="003A2B11" w:rsidRDefault="003A2B11" w:rsidP="0070671D">
      <w:pPr>
        <w:spacing w:after="0" w:line="276" w:lineRule="auto"/>
        <w:ind w:left="142" w:firstLine="284"/>
        <w:jc w:val="both"/>
        <w:rPr>
          <w:rFonts w:asciiTheme="majorBidi" w:hAnsiTheme="majorBidi" w:cstheme="majorBidi"/>
          <w:sz w:val="24"/>
          <w:szCs w:val="24"/>
        </w:rPr>
      </w:pPr>
      <w:r>
        <w:rPr>
          <w:rFonts w:asciiTheme="majorBidi" w:hAnsiTheme="majorBidi" w:cstheme="majorBidi"/>
          <w:sz w:val="24"/>
          <w:szCs w:val="24"/>
        </w:rPr>
        <w:t>Dans le même ordre d’idée</w:t>
      </w:r>
      <w:r w:rsidR="0070671D">
        <w:rPr>
          <w:rFonts w:asciiTheme="majorBidi" w:hAnsiTheme="majorBidi" w:cstheme="majorBidi"/>
          <w:sz w:val="24"/>
          <w:szCs w:val="24"/>
        </w:rPr>
        <w:t>s</w:t>
      </w:r>
      <w:r>
        <w:rPr>
          <w:rFonts w:asciiTheme="majorBidi" w:hAnsiTheme="majorBidi" w:cstheme="majorBidi"/>
          <w:sz w:val="24"/>
          <w:szCs w:val="24"/>
        </w:rPr>
        <w:t>,</w:t>
      </w:r>
      <w:r w:rsidRPr="003A2B11">
        <w:rPr>
          <w:rFonts w:asciiTheme="majorBidi" w:hAnsiTheme="majorBidi" w:cstheme="majorBidi"/>
          <w:sz w:val="24"/>
          <w:szCs w:val="24"/>
        </w:rPr>
        <w:t xml:space="preserve"> la participation </w:t>
      </w:r>
      <w:r>
        <w:rPr>
          <w:rFonts w:asciiTheme="majorBidi" w:hAnsiTheme="majorBidi" w:cstheme="majorBidi"/>
          <w:sz w:val="24"/>
          <w:szCs w:val="24"/>
        </w:rPr>
        <w:t xml:space="preserve">d’une université </w:t>
      </w:r>
      <w:r w:rsidRPr="003A2B11">
        <w:rPr>
          <w:rFonts w:asciiTheme="majorBidi" w:hAnsiTheme="majorBidi" w:cstheme="majorBidi"/>
          <w:sz w:val="24"/>
          <w:szCs w:val="24"/>
        </w:rPr>
        <w:t>à Erasmus</w:t>
      </w:r>
      <w:r w:rsidR="00A50938">
        <w:rPr>
          <w:rFonts w:asciiTheme="majorBidi" w:hAnsiTheme="majorBidi" w:cstheme="majorBidi"/>
          <w:sz w:val="24"/>
          <w:szCs w:val="24"/>
        </w:rPr>
        <w:t>,</w:t>
      </w:r>
      <w:r w:rsidRPr="003A2B11">
        <w:rPr>
          <w:rFonts w:asciiTheme="majorBidi" w:hAnsiTheme="majorBidi" w:cstheme="majorBidi"/>
          <w:sz w:val="24"/>
          <w:szCs w:val="24"/>
        </w:rPr>
        <w:t xml:space="preserve"> sert d'</w:t>
      </w:r>
      <w:r w:rsidR="00A50938">
        <w:rPr>
          <w:rFonts w:asciiTheme="majorBidi" w:hAnsiTheme="majorBidi" w:cstheme="majorBidi"/>
          <w:sz w:val="24"/>
          <w:szCs w:val="24"/>
        </w:rPr>
        <w:t xml:space="preserve">indicateur de la capacité de </w:t>
      </w:r>
      <w:r>
        <w:rPr>
          <w:rFonts w:asciiTheme="majorBidi" w:hAnsiTheme="majorBidi" w:cstheme="majorBidi"/>
          <w:sz w:val="24"/>
          <w:szCs w:val="24"/>
        </w:rPr>
        <w:t xml:space="preserve">celle-ci </w:t>
      </w:r>
      <w:r w:rsidRPr="003A2B11">
        <w:rPr>
          <w:rFonts w:asciiTheme="majorBidi" w:hAnsiTheme="majorBidi" w:cstheme="majorBidi"/>
          <w:sz w:val="24"/>
          <w:szCs w:val="24"/>
        </w:rPr>
        <w:t>à opérer effic</w:t>
      </w:r>
      <w:r>
        <w:rPr>
          <w:rFonts w:asciiTheme="majorBidi" w:hAnsiTheme="majorBidi" w:cstheme="majorBidi"/>
          <w:sz w:val="24"/>
          <w:szCs w:val="24"/>
        </w:rPr>
        <w:t>acemen</w:t>
      </w:r>
      <w:r w:rsidR="00A50938">
        <w:rPr>
          <w:rFonts w:asciiTheme="majorBidi" w:hAnsiTheme="majorBidi" w:cstheme="majorBidi"/>
          <w:sz w:val="24"/>
          <w:szCs w:val="24"/>
        </w:rPr>
        <w:t>t au niveau international. Ceci</w:t>
      </w:r>
      <w:r w:rsidRPr="003A2B11">
        <w:rPr>
          <w:rFonts w:asciiTheme="majorBidi" w:hAnsiTheme="majorBidi" w:cstheme="majorBidi"/>
          <w:sz w:val="24"/>
          <w:szCs w:val="24"/>
        </w:rPr>
        <w:t>a pour effet de renforcer sa réputation</w:t>
      </w:r>
      <w:r w:rsidR="0070671D">
        <w:rPr>
          <w:rFonts w:asciiTheme="majorBidi" w:hAnsiTheme="majorBidi" w:cstheme="majorBidi"/>
          <w:sz w:val="24"/>
          <w:szCs w:val="24"/>
        </w:rPr>
        <w:t xml:space="preserve">et </w:t>
      </w:r>
      <w:r>
        <w:rPr>
          <w:rFonts w:asciiTheme="majorBidi" w:hAnsiTheme="majorBidi" w:cstheme="majorBidi"/>
          <w:sz w:val="24"/>
          <w:szCs w:val="24"/>
        </w:rPr>
        <w:t xml:space="preserve">de </w:t>
      </w:r>
      <w:r w:rsidRPr="003A2B11">
        <w:rPr>
          <w:rFonts w:asciiTheme="majorBidi" w:hAnsiTheme="majorBidi" w:cstheme="majorBidi"/>
          <w:sz w:val="24"/>
          <w:szCs w:val="24"/>
        </w:rPr>
        <w:t>son attractivité</w:t>
      </w:r>
      <w:r w:rsidR="00A50938">
        <w:rPr>
          <w:rFonts w:asciiTheme="majorBidi" w:hAnsiTheme="majorBidi" w:cstheme="majorBidi"/>
          <w:sz w:val="24"/>
          <w:szCs w:val="24"/>
        </w:rPr>
        <w:t>,</w:t>
      </w:r>
      <w:r w:rsidRPr="003A2B11">
        <w:rPr>
          <w:rFonts w:asciiTheme="majorBidi" w:hAnsiTheme="majorBidi" w:cstheme="majorBidi"/>
          <w:sz w:val="24"/>
          <w:szCs w:val="24"/>
        </w:rPr>
        <w:t xml:space="preserve"> auprès </w:t>
      </w:r>
      <w:r>
        <w:rPr>
          <w:rFonts w:asciiTheme="majorBidi" w:hAnsiTheme="majorBidi" w:cstheme="majorBidi"/>
          <w:sz w:val="24"/>
          <w:szCs w:val="24"/>
        </w:rPr>
        <w:t xml:space="preserve">des divers partenaires et des </w:t>
      </w:r>
      <w:r w:rsidRPr="003A2B11">
        <w:rPr>
          <w:rFonts w:asciiTheme="majorBidi" w:hAnsiTheme="majorBidi" w:cstheme="majorBidi"/>
          <w:sz w:val="24"/>
          <w:szCs w:val="24"/>
        </w:rPr>
        <w:t xml:space="preserve">futurs </w:t>
      </w:r>
      <w:r w:rsidRPr="003A2B11">
        <w:rPr>
          <w:rFonts w:asciiTheme="majorBidi" w:hAnsiTheme="majorBidi" w:cstheme="majorBidi"/>
          <w:sz w:val="24"/>
          <w:szCs w:val="24"/>
        </w:rPr>
        <w:lastRenderedPageBreak/>
        <w:t xml:space="preserve">étudiants. </w:t>
      </w:r>
      <w:r w:rsidR="0005676A">
        <w:rPr>
          <w:rFonts w:asciiTheme="majorBidi" w:hAnsiTheme="majorBidi" w:cstheme="majorBidi"/>
          <w:sz w:val="24"/>
          <w:szCs w:val="24"/>
        </w:rPr>
        <w:t>En plus, l</w:t>
      </w:r>
      <w:r w:rsidRPr="003A2B11">
        <w:rPr>
          <w:rFonts w:asciiTheme="majorBidi" w:hAnsiTheme="majorBidi" w:cstheme="majorBidi"/>
          <w:sz w:val="24"/>
          <w:szCs w:val="24"/>
        </w:rPr>
        <w:t>a nécessité de reconnaître les crédits obtenus à l'étranger</w:t>
      </w:r>
      <w:r w:rsidR="00A50938">
        <w:rPr>
          <w:rFonts w:asciiTheme="majorBidi" w:hAnsiTheme="majorBidi" w:cstheme="majorBidi"/>
          <w:sz w:val="24"/>
          <w:szCs w:val="24"/>
        </w:rPr>
        <w:t>,</w:t>
      </w:r>
      <w:r w:rsidR="0005676A">
        <w:rPr>
          <w:rFonts w:asciiTheme="majorBidi" w:hAnsiTheme="majorBidi" w:cstheme="majorBidi"/>
          <w:sz w:val="24"/>
          <w:szCs w:val="24"/>
        </w:rPr>
        <w:t xml:space="preserve">incite les </w:t>
      </w:r>
      <w:r w:rsidRPr="003A2B11">
        <w:rPr>
          <w:rFonts w:asciiTheme="majorBidi" w:hAnsiTheme="majorBidi" w:cstheme="majorBidi"/>
          <w:sz w:val="24"/>
          <w:szCs w:val="24"/>
        </w:rPr>
        <w:t xml:space="preserve">institutions à harmoniser leurs </w:t>
      </w:r>
      <w:r w:rsidR="0005676A">
        <w:rPr>
          <w:rFonts w:asciiTheme="majorBidi" w:hAnsiTheme="majorBidi" w:cstheme="majorBidi"/>
          <w:sz w:val="24"/>
          <w:szCs w:val="24"/>
        </w:rPr>
        <w:t>parcours pédagogiques et leur système</w:t>
      </w:r>
      <w:r w:rsidRPr="003A2B11">
        <w:rPr>
          <w:rFonts w:asciiTheme="majorBidi" w:hAnsiTheme="majorBidi" w:cstheme="majorBidi"/>
          <w:sz w:val="24"/>
          <w:szCs w:val="24"/>
        </w:rPr>
        <w:t xml:space="preserve"> d'évaluation. </w:t>
      </w:r>
      <w:r w:rsidR="00C3066E">
        <w:rPr>
          <w:rFonts w:asciiTheme="majorBidi" w:hAnsiTheme="majorBidi" w:cstheme="majorBidi"/>
          <w:sz w:val="24"/>
          <w:szCs w:val="24"/>
        </w:rPr>
        <w:t xml:space="preserve">Enfin, </w:t>
      </w:r>
      <w:r w:rsidRPr="003A2B11">
        <w:rPr>
          <w:rFonts w:asciiTheme="majorBidi" w:hAnsiTheme="majorBidi" w:cstheme="majorBidi"/>
          <w:sz w:val="24"/>
          <w:szCs w:val="24"/>
        </w:rPr>
        <w:t>les étudiants qui reviennent de leur séjour à l'étranger</w:t>
      </w:r>
      <w:r w:rsidR="00A50938">
        <w:rPr>
          <w:rFonts w:asciiTheme="majorBidi" w:hAnsiTheme="majorBidi" w:cstheme="majorBidi"/>
          <w:sz w:val="24"/>
          <w:szCs w:val="24"/>
        </w:rPr>
        <w:t>,</w:t>
      </w:r>
      <w:r w:rsidR="0005676A">
        <w:rPr>
          <w:rFonts w:asciiTheme="majorBidi" w:hAnsiTheme="majorBidi" w:cstheme="majorBidi"/>
          <w:sz w:val="24"/>
          <w:szCs w:val="24"/>
        </w:rPr>
        <w:t>sont</w:t>
      </w:r>
      <w:r w:rsidRPr="003A2B11">
        <w:rPr>
          <w:rFonts w:asciiTheme="majorBidi" w:hAnsiTheme="majorBidi" w:cstheme="majorBidi"/>
          <w:sz w:val="24"/>
          <w:szCs w:val="24"/>
        </w:rPr>
        <w:t xml:space="preserve"> une source d'information </w:t>
      </w:r>
      <w:r w:rsidR="0005676A">
        <w:rPr>
          <w:rFonts w:asciiTheme="majorBidi" w:hAnsiTheme="majorBidi" w:cstheme="majorBidi"/>
          <w:sz w:val="24"/>
          <w:szCs w:val="24"/>
        </w:rPr>
        <w:t xml:space="preserve">précieuse </w:t>
      </w:r>
      <w:r w:rsidRPr="003A2B11">
        <w:rPr>
          <w:rFonts w:asciiTheme="majorBidi" w:hAnsiTheme="majorBidi" w:cstheme="majorBidi"/>
          <w:sz w:val="24"/>
          <w:szCs w:val="24"/>
        </w:rPr>
        <w:t xml:space="preserve">pour l'amélioration continue des </w:t>
      </w:r>
      <w:r w:rsidR="0005676A">
        <w:rPr>
          <w:rFonts w:asciiTheme="majorBidi" w:hAnsiTheme="majorBidi" w:cstheme="majorBidi"/>
          <w:sz w:val="24"/>
          <w:szCs w:val="24"/>
        </w:rPr>
        <w:t>programmes</w:t>
      </w:r>
      <w:r w:rsidR="00A50938">
        <w:rPr>
          <w:rFonts w:asciiTheme="majorBidi" w:hAnsiTheme="majorBidi" w:cstheme="majorBidi"/>
          <w:sz w:val="24"/>
          <w:szCs w:val="24"/>
        </w:rPr>
        <w:t>,</w:t>
      </w:r>
      <w:r w:rsidR="0005676A">
        <w:rPr>
          <w:rFonts w:asciiTheme="majorBidi" w:hAnsiTheme="majorBidi" w:cstheme="majorBidi"/>
          <w:sz w:val="24"/>
          <w:szCs w:val="24"/>
        </w:rPr>
        <w:t xml:space="preserve"> créant </w:t>
      </w:r>
      <w:r w:rsidRPr="003A2B11">
        <w:rPr>
          <w:rFonts w:asciiTheme="majorBidi" w:hAnsiTheme="majorBidi" w:cstheme="majorBidi"/>
          <w:sz w:val="24"/>
          <w:szCs w:val="24"/>
        </w:rPr>
        <w:t xml:space="preserve">un effet de rétroaction qui </w:t>
      </w:r>
      <w:r w:rsidR="0005676A">
        <w:rPr>
          <w:rFonts w:asciiTheme="majorBidi" w:hAnsiTheme="majorBidi" w:cstheme="majorBidi"/>
          <w:sz w:val="24"/>
          <w:szCs w:val="24"/>
        </w:rPr>
        <w:t xml:space="preserve">affine et </w:t>
      </w:r>
      <w:r w:rsidRPr="003A2B11">
        <w:rPr>
          <w:rFonts w:asciiTheme="majorBidi" w:hAnsiTheme="majorBidi" w:cstheme="majorBidi"/>
          <w:sz w:val="24"/>
          <w:szCs w:val="24"/>
        </w:rPr>
        <w:t xml:space="preserve">enrichit les </w:t>
      </w:r>
      <w:r w:rsidRPr="00937052">
        <w:rPr>
          <w:rFonts w:asciiTheme="majorBidi" w:hAnsiTheme="majorBidi" w:cstheme="majorBidi"/>
          <w:sz w:val="24"/>
          <w:szCs w:val="24"/>
        </w:rPr>
        <w:t>processus internes d'assurance qualité (European Association for Quality Assurance in Higher Education, 2015).</w:t>
      </w:r>
    </w:p>
    <w:p w:rsidR="000B75C2" w:rsidRDefault="000B75C2" w:rsidP="0005676A">
      <w:pPr>
        <w:spacing w:after="0" w:line="276" w:lineRule="auto"/>
        <w:ind w:left="142" w:firstLine="284"/>
        <w:jc w:val="both"/>
        <w:rPr>
          <w:rFonts w:asciiTheme="majorBidi" w:hAnsiTheme="majorBidi" w:cstheme="majorBidi"/>
          <w:sz w:val="24"/>
          <w:szCs w:val="24"/>
        </w:rPr>
      </w:pPr>
    </w:p>
    <w:p w:rsidR="002246A9" w:rsidRDefault="002246A9" w:rsidP="0005676A">
      <w:pPr>
        <w:spacing w:after="0" w:line="276" w:lineRule="auto"/>
        <w:ind w:left="142" w:firstLine="284"/>
        <w:jc w:val="both"/>
        <w:rPr>
          <w:rFonts w:asciiTheme="majorBidi" w:hAnsiTheme="majorBidi" w:cstheme="majorBidi"/>
          <w:sz w:val="24"/>
          <w:szCs w:val="24"/>
        </w:rPr>
      </w:pPr>
    </w:p>
    <w:p w:rsidR="002246A9" w:rsidRDefault="002246A9" w:rsidP="0005676A">
      <w:pPr>
        <w:spacing w:after="0" w:line="276" w:lineRule="auto"/>
        <w:ind w:left="142" w:firstLine="284"/>
        <w:jc w:val="both"/>
        <w:rPr>
          <w:rFonts w:asciiTheme="majorBidi" w:hAnsiTheme="majorBidi" w:cstheme="majorBidi"/>
          <w:sz w:val="24"/>
          <w:szCs w:val="24"/>
        </w:rPr>
      </w:pPr>
    </w:p>
    <w:p w:rsidR="008450A1" w:rsidRPr="003B15C6" w:rsidRDefault="008450A1" w:rsidP="002D26C1">
      <w:pPr>
        <w:pStyle w:val="Paragraphedeliste"/>
        <w:numPr>
          <w:ilvl w:val="0"/>
          <w:numId w:val="1"/>
        </w:numPr>
        <w:spacing w:line="276" w:lineRule="auto"/>
        <w:ind w:left="426"/>
        <w:jc w:val="both"/>
        <w:rPr>
          <w:rFonts w:asciiTheme="majorBidi" w:hAnsiTheme="majorBidi" w:cstheme="majorBidi"/>
          <w:b/>
          <w:bCs/>
          <w:sz w:val="24"/>
          <w:szCs w:val="24"/>
        </w:rPr>
      </w:pPr>
      <w:r w:rsidRPr="003B15C6">
        <w:rPr>
          <w:rFonts w:asciiTheme="majorBidi" w:hAnsiTheme="majorBidi" w:cstheme="majorBidi"/>
          <w:b/>
          <w:bCs/>
          <w:sz w:val="24"/>
          <w:szCs w:val="24"/>
        </w:rPr>
        <w:t>Conclusion</w:t>
      </w:r>
    </w:p>
    <w:p w:rsidR="00D709CE" w:rsidRPr="006F6367" w:rsidRDefault="00D709CE" w:rsidP="00EB37AF">
      <w:pPr>
        <w:spacing w:line="276" w:lineRule="auto"/>
        <w:ind w:firstLine="284"/>
        <w:jc w:val="both"/>
        <w:rPr>
          <w:rFonts w:asciiTheme="majorBidi" w:hAnsiTheme="majorBidi" w:cstheme="majorBidi"/>
          <w:sz w:val="24"/>
          <w:szCs w:val="24"/>
          <w:rtl/>
        </w:rPr>
      </w:pPr>
      <w:r w:rsidRPr="006F6367">
        <w:rPr>
          <w:rFonts w:asciiTheme="majorBidi" w:hAnsiTheme="majorBidi" w:cstheme="majorBidi"/>
          <w:sz w:val="24"/>
          <w:szCs w:val="24"/>
        </w:rPr>
        <w:t>La qualité de l'enseignement supérieur</w:t>
      </w:r>
      <w:r w:rsidR="00EB37AF">
        <w:rPr>
          <w:rFonts w:asciiTheme="majorBidi" w:hAnsiTheme="majorBidi" w:cstheme="majorBidi"/>
          <w:sz w:val="24"/>
          <w:szCs w:val="24"/>
        </w:rPr>
        <w:t>,</w:t>
      </w:r>
      <w:r w:rsidRPr="006F6367">
        <w:rPr>
          <w:rFonts w:asciiTheme="majorBidi" w:hAnsiTheme="majorBidi" w:cstheme="majorBidi"/>
          <w:sz w:val="24"/>
          <w:szCs w:val="24"/>
        </w:rPr>
        <w:t xml:space="preserve"> est un concept dynamiquequi ne saurait se réduire à des indicateurs statiques. Une assurance qualité moderne</w:t>
      </w:r>
      <w:r w:rsidR="006F6367" w:rsidRPr="006F6367">
        <w:rPr>
          <w:rFonts w:asciiTheme="majorBidi" w:hAnsiTheme="majorBidi" w:cstheme="majorBidi"/>
          <w:sz w:val="24"/>
          <w:szCs w:val="24"/>
        </w:rPr>
        <w:t>,</w:t>
      </w:r>
      <w:r w:rsidRPr="006F6367">
        <w:rPr>
          <w:rFonts w:asciiTheme="majorBidi" w:hAnsiTheme="majorBidi" w:cstheme="majorBidi"/>
          <w:sz w:val="24"/>
          <w:szCs w:val="24"/>
        </w:rPr>
        <w:t xml:space="preserve"> doit dépasser les mécanismes traditionnels</w:t>
      </w:r>
      <w:r w:rsidR="00EB37AF">
        <w:rPr>
          <w:rFonts w:asciiTheme="majorBidi" w:hAnsiTheme="majorBidi" w:cstheme="majorBidi"/>
          <w:sz w:val="24"/>
          <w:szCs w:val="24"/>
        </w:rPr>
        <w:t xml:space="preserve"> et intégrer d’autres</w:t>
      </w:r>
      <w:r w:rsidRPr="006F6367">
        <w:rPr>
          <w:rFonts w:asciiTheme="majorBidi" w:hAnsiTheme="majorBidi" w:cstheme="majorBidi"/>
          <w:sz w:val="24"/>
          <w:szCs w:val="24"/>
        </w:rPr>
        <w:t xml:space="preserve"> dynamiques</w:t>
      </w:r>
      <w:r w:rsidR="00EB37AF">
        <w:rPr>
          <w:rFonts w:asciiTheme="majorBidi" w:hAnsiTheme="majorBidi" w:cstheme="majorBidi"/>
          <w:sz w:val="24"/>
          <w:szCs w:val="24"/>
        </w:rPr>
        <w:t xml:space="preserve">, </w:t>
      </w:r>
      <w:r w:rsidRPr="006F6367">
        <w:rPr>
          <w:rFonts w:asciiTheme="majorBidi" w:hAnsiTheme="majorBidi" w:cstheme="majorBidi"/>
          <w:sz w:val="24"/>
          <w:szCs w:val="24"/>
        </w:rPr>
        <w:t xml:space="preserve">telles que la mobilité </w:t>
      </w:r>
      <w:r w:rsidR="00EB37AF">
        <w:rPr>
          <w:rFonts w:asciiTheme="majorBidi" w:hAnsiTheme="majorBidi" w:cstheme="majorBidi"/>
          <w:sz w:val="24"/>
          <w:szCs w:val="24"/>
        </w:rPr>
        <w:t xml:space="preserve">des </w:t>
      </w:r>
      <w:r w:rsidRPr="006F6367">
        <w:rPr>
          <w:rFonts w:asciiTheme="majorBidi" w:hAnsiTheme="majorBidi" w:cstheme="majorBidi"/>
          <w:sz w:val="24"/>
          <w:szCs w:val="24"/>
        </w:rPr>
        <w:t>étudiant</w:t>
      </w:r>
      <w:r w:rsidR="00EB37AF">
        <w:rPr>
          <w:rFonts w:asciiTheme="majorBidi" w:hAnsiTheme="majorBidi" w:cstheme="majorBidi"/>
          <w:sz w:val="24"/>
          <w:szCs w:val="24"/>
        </w:rPr>
        <w:t>s</w:t>
      </w:r>
      <w:r w:rsidRPr="006F6367">
        <w:rPr>
          <w:rFonts w:asciiTheme="majorBidi" w:hAnsiTheme="majorBidi" w:cstheme="majorBidi"/>
          <w:sz w:val="24"/>
          <w:szCs w:val="24"/>
        </w:rPr>
        <w:t>. Celle-ci, en favorisant le dialogue interculturel et la confrontation des modèles académiques, se révèle un levier puissant pour l'amélioration continue des institutions. Elle enrichit ainsi l'expérienc</w:t>
      </w:r>
      <w:r w:rsidR="00EB37AF">
        <w:rPr>
          <w:rFonts w:asciiTheme="majorBidi" w:hAnsiTheme="majorBidi" w:cstheme="majorBidi"/>
          <w:sz w:val="24"/>
          <w:szCs w:val="24"/>
        </w:rPr>
        <w:t>e d'apprentissage, au bénéfice</w:t>
      </w:r>
      <w:r w:rsidRPr="006F6367">
        <w:rPr>
          <w:rFonts w:asciiTheme="majorBidi" w:hAnsiTheme="majorBidi" w:cstheme="majorBidi"/>
          <w:sz w:val="24"/>
          <w:szCs w:val="24"/>
        </w:rPr>
        <w:t xml:space="preserve"> des étudiants </w:t>
      </w:r>
      <w:r w:rsidR="00EB37AF">
        <w:rPr>
          <w:rFonts w:asciiTheme="majorBidi" w:hAnsiTheme="majorBidi" w:cstheme="majorBidi"/>
          <w:sz w:val="24"/>
          <w:szCs w:val="24"/>
        </w:rPr>
        <w:t>et</w:t>
      </w:r>
      <w:r w:rsidRPr="006F6367">
        <w:rPr>
          <w:rFonts w:asciiTheme="majorBidi" w:hAnsiTheme="majorBidi" w:cstheme="majorBidi"/>
          <w:sz w:val="24"/>
          <w:szCs w:val="24"/>
        </w:rPr>
        <w:t xml:space="preserve"> de la société dans son ensemble.</w:t>
      </w:r>
    </w:p>
    <w:p w:rsidR="00D709CE" w:rsidRPr="001150C4" w:rsidRDefault="00D709CE" w:rsidP="00EB37AF">
      <w:pPr>
        <w:spacing w:line="276" w:lineRule="auto"/>
        <w:ind w:firstLine="284"/>
        <w:jc w:val="both"/>
        <w:rPr>
          <w:rFonts w:asciiTheme="majorBidi" w:hAnsiTheme="majorBidi" w:cstheme="majorBidi"/>
          <w:sz w:val="24"/>
          <w:szCs w:val="24"/>
          <w:rtl/>
        </w:rPr>
      </w:pPr>
      <w:r w:rsidRPr="001150C4">
        <w:rPr>
          <w:rFonts w:asciiTheme="majorBidi" w:hAnsiTheme="majorBidi" w:cstheme="majorBidi"/>
          <w:sz w:val="24"/>
          <w:szCs w:val="24"/>
        </w:rPr>
        <w:t>Le programme Erasmus</w:t>
      </w:r>
      <w:r w:rsidR="001150C4" w:rsidRPr="001150C4">
        <w:rPr>
          <w:rFonts w:asciiTheme="majorBidi" w:hAnsiTheme="majorBidi" w:cstheme="majorBidi"/>
          <w:sz w:val="24"/>
          <w:szCs w:val="24"/>
        </w:rPr>
        <w:t>,</w:t>
      </w:r>
      <w:r w:rsidRPr="001150C4">
        <w:rPr>
          <w:rFonts w:asciiTheme="majorBidi" w:hAnsiTheme="majorBidi" w:cstheme="majorBidi"/>
          <w:sz w:val="24"/>
          <w:szCs w:val="24"/>
        </w:rPr>
        <w:t xml:space="preserve"> ne se contente pas </w:t>
      </w:r>
      <w:r w:rsidR="00157850" w:rsidRPr="001150C4">
        <w:rPr>
          <w:rFonts w:asciiTheme="majorBidi" w:hAnsiTheme="majorBidi" w:cstheme="majorBidi"/>
          <w:sz w:val="24"/>
          <w:szCs w:val="24"/>
        </w:rPr>
        <w:t xml:space="preserve">uniquement de </w:t>
      </w:r>
      <w:r w:rsidRPr="001150C4">
        <w:rPr>
          <w:rFonts w:asciiTheme="majorBidi" w:hAnsiTheme="majorBidi" w:cstheme="majorBidi"/>
          <w:sz w:val="24"/>
          <w:szCs w:val="24"/>
        </w:rPr>
        <w:t>faciliter le déplacement des étudiant</w:t>
      </w:r>
      <w:r w:rsidR="00EB37AF">
        <w:rPr>
          <w:rFonts w:asciiTheme="majorBidi" w:hAnsiTheme="majorBidi" w:cstheme="majorBidi"/>
          <w:sz w:val="24"/>
          <w:szCs w:val="24"/>
        </w:rPr>
        <w:t>s. I</w:t>
      </w:r>
      <w:r w:rsidRPr="001150C4">
        <w:rPr>
          <w:rFonts w:asciiTheme="majorBidi" w:hAnsiTheme="majorBidi" w:cstheme="majorBidi"/>
          <w:sz w:val="24"/>
          <w:szCs w:val="24"/>
        </w:rPr>
        <w:t>l met en mouvement des idées, des pratiques et des standards, créant</w:t>
      </w:r>
      <w:r w:rsidR="00157850" w:rsidRPr="001150C4">
        <w:rPr>
          <w:rFonts w:asciiTheme="majorBidi" w:hAnsiTheme="majorBidi" w:cstheme="majorBidi"/>
          <w:sz w:val="24"/>
          <w:szCs w:val="24"/>
        </w:rPr>
        <w:t xml:space="preserve"> un écosystème où la qualité </w:t>
      </w:r>
      <w:r w:rsidRPr="001150C4">
        <w:rPr>
          <w:rFonts w:asciiTheme="majorBidi" w:hAnsiTheme="majorBidi" w:cstheme="majorBidi"/>
          <w:sz w:val="24"/>
          <w:szCs w:val="24"/>
        </w:rPr>
        <w:t xml:space="preserve">se construit activement grâce à la coopération et à la mobilité. L'échange </w:t>
      </w:r>
      <w:r w:rsidR="00EB37AF">
        <w:rPr>
          <w:rFonts w:asciiTheme="majorBidi" w:hAnsiTheme="majorBidi" w:cstheme="majorBidi"/>
          <w:sz w:val="24"/>
          <w:szCs w:val="24"/>
        </w:rPr>
        <w:t>des étudiants</w:t>
      </w:r>
      <w:r w:rsidRPr="001150C4">
        <w:rPr>
          <w:rFonts w:asciiTheme="majorBidi" w:hAnsiTheme="majorBidi" w:cstheme="majorBidi"/>
          <w:sz w:val="24"/>
          <w:szCs w:val="24"/>
        </w:rPr>
        <w:t xml:space="preserve"> fonctionne comme un mécanisme de stimulation mutuelle, permettant le transfert de bonnes pratiques et l</w:t>
      </w:r>
      <w:r w:rsidR="00B3285E">
        <w:rPr>
          <w:rFonts w:asciiTheme="majorBidi" w:hAnsiTheme="majorBidi" w:cstheme="majorBidi"/>
          <w:sz w:val="24"/>
          <w:szCs w:val="24"/>
        </w:rPr>
        <w:t>'émulation entre établissements participants.</w:t>
      </w:r>
    </w:p>
    <w:p w:rsidR="00B86E92" w:rsidRDefault="00D709CE" w:rsidP="001150C4">
      <w:pPr>
        <w:spacing w:line="276" w:lineRule="auto"/>
        <w:ind w:firstLine="284"/>
        <w:jc w:val="both"/>
        <w:rPr>
          <w:rFonts w:asciiTheme="majorBidi" w:hAnsiTheme="majorBidi" w:cstheme="majorBidi"/>
          <w:sz w:val="24"/>
          <w:szCs w:val="24"/>
          <w:highlight w:val="yellow"/>
        </w:rPr>
      </w:pPr>
      <w:r w:rsidRPr="001150C4">
        <w:rPr>
          <w:rFonts w:asciiTheme="majorBidi" w:hAnsiTheme="majorBidi" w:cstheme="majorBidi"/>
          <w:sz w:val="24"/>
          <w:szCs w:val="24"/>
        </w:rPr>
        <w:t>En effet, lorsqu'un étudiant part à l'étranger, il endosse un double rôle. Il devient à la fois</w:t>
      </w:r>
      <w:r w:rsidR="001150C4" w:rsidRPr="001150C4">
        <w:rPr>
          <w:rFonts w:asciiTheme="majorBidi" w:hAnsiTheme="majorBidi" w:cstheme="majorBidi"/>
          <w:sz w:val="24"/>
          <w:szCs w:val="24"/>
        </w:rPr>
        <w:t>,</w:t>
      </w:r>
      <w:r w:rsidRPr="001150C4">
        <w:rPr>
          <w:rFonts w:asciiTheme="majorBidi" w:hAnsiTheme="majorBidi" w:cstheme="majorBidi"/>
          <w:sz w:val="24"/>
          <w:szCs w:val="24"/>
        </w:rPr>
        <w:t xml:space="preserve"> un ambassadeur de son université d'origine</w:t>
      </w:r>
      <w:r w:rsidR="001150C4" w:rsidRPr="001150C4">
        <w:rPr>
          <w:rFonts w:asciiTheme="majorBidi" w:hAnsiTheme="majorBidi" w:cstheme="majorBidi"/>
          <w:sz w:val="24"/>
          <w:szCs w:val="24"/>
        </w:rPr>
        <w:t>,</w:t>
      </w:r>
      <w:r w:rsidR="00157850" w:rsidRPr="001150C4">
        <w:rPr>
          <w:rFonts w:asciiTheme="majorBidi" w:hAnsiTheme="majorBidi" w:cstheme="majorBidi"/>
          <w:sz w:val="24"/>
          <w:szCs w:val="24"/>
        </w:rPr>
        <w:t>quant à la qualité des enseignements, la pédagogie et les moyens mise en place. L’autre rôle</w:t>
      </w:r>
      <w:r w:rsidR="001150C4" w:rsidRPr="001150C4">
        <w:rPr>
          <w:rFonts w:asciiTheme="majorBidi" w:hAnsiTheme="majorBidi" w:cstheme="majorBidi"/>
          <w:sz w:val="24"/>
          <w:szCs w:val="24"/>
        </w:rPr>
        <w:t>,</w:t>
      </w:r>
      <w:r w:rsidR="00157850" w:rsidRPr="001150C4">
        <w:rPr>
          <w:rFonts w:asciiTheme="majorBidi" w:hAnsiTheme="majorBidi" w:cstheme="majorBidi"/>
          <w:sz w:val="24"/>
          <w:szCs w:val="24"/>
        </w:rPr>
        <w:t xml:space="preserve"> est celui d’un observateur critique de l’université d’accueil</w:t>
      </w:r>
      <w:r w:rsidR="001150C4" w:rsidRPr="001150C4">
        <w:rPr>
          <w:rFonts w:asciiTheme="majorBidi" w:hAnsiTheme="majorBidi" w:cstheme="majorBidi"/>
          <w:sz w:val="24"/>
          <w:szCs w:val="24"/>
        </w:rPr>
        <w:t>,via des comparaisons</w:t>
      </w:r>
      <w:r w:rsidR="00157850" w:rsidRPr="001150C4">
        <w:rPr>
          <w:rFonts w:asciiTheme="majorBidi" w:hAnsiTheme="majorBidi" w:cstheme="majorBidi"/>
          <w:sz w:val="24"/>
          <w:szCs w:val="24"/>
        </w:rPr>
        <w:t xml:space="preserve"> avec ce qu’il a connu jusque-là. À son retour, </w:t>
      </w:r>
      <w:r w:rsidR="001150C4" w:rsidRPr="001150C4">
        <w:rPr>
          <w:rFonts w:asciiTheme="majorBidi" w:hAnsiTheme="majorBidi" w:cstheme="majorBidi"/>
          <w:sz w:val="24"/>
          <w:szCs w:val="24"/>
        </w:rPr>
        <w:t>l</w:t>
      </w:r>
      <w:r w:rsidR="00157850" w:rsidRPr="001150C4">
        <w:rPr>
          <w:rFonts w:asciiTheme="majorBidi" w:hAnsiTheme="majorBidi" w:cstheme="majorBidi"/>
          <w:sz w:val="24"/>
          <w:szCs w:val="24"/>
        </w:rPr>
        <w:t>’</w:t>
      </w:r>
      <w:r w:rsidR="00B86E92" w:rsidRPr="001150C4">
        <w:rPr>
          <w:rFonts w:asciiTheme="majorBidi" w:hAnsiTheme="majorBidi" w:cstheme="majorBidi"/>
          <w:sz w:val="24"/>
          <w:szCs w:val="24"/>
        </w:rPr>
        <w:t>expérience</w:t>
      </w:r>
      <w:r w:rsidR="00157850" w:rsidRPr="001150C4">
        <w:rPr>
          <w:rFonts w:asciiTheme="majorBidi" w:hAnsiTheme="majorBidi" w:cstheme="majorBidi"/>
          <w:sz w:val="24"/>
          <w:szCs w:val="24"/>
        </w:rPr>
        <w:t xml:space="preserve"> accumulé</w:t>
      </w:r>
      <w:r w:rsidR="00B86E92" w:rsidRPr="001150C4">
        <w:rPr>
          <w:rFonts w:asciiTheme="majorBidi" w:hAnsiTheme="majorBidi" w:cstheme="majorBidi"/>
          <w:sz w:val="24"/>
          <w:szCs w:val="24"/>
        </w:rPr>
        <w:t>e</w:t>
      </w:r>
      <w:r w:rsidR="00157850" w:rsidRPr="001150C4">
        <w:rPr>
          <w:rFonts w:asciiTheme="majorBidi" w:hAnsiTheme="majorBidi" w:cstheme="majorBidi"/>
          <w:sz w:val="24"/>
          <w:szCs w:val="24"/>
        </w:rPr>
        <w:t xml:space="preserve"> par l’étudiant durant sa mobilité - </w:t>
      </w:r>
      <w:r w:rsidRPr="001150C4">
        <w:rPr>
          <w:rFonts w:asciiTheme="majorBidi" w:hAnsiTheme="majorBidi" w:cstheme="majorBidi"/>
          <w:sz w:val="24"/>
          <w:szCs w:val="24"/>
        </w:rPr>
        <w:t>qu'elle soit positive ou négative – offre des retours précieux sur les méthodes pédagogiques, les standards académiques et les infrastructures de l'établ</w:t>
      </w:r>
      <w:r w:rsidR="00A64441">
        <w:rPr>
          <w:rFonts w:asciiTheme="majorBidi" w:hAnsiTheme="majorBidi" w:cstheme="majorBidi"/>
          <w:sz w:val="24"/>
          <w:szCs w:val="24"/>
        </w:rPr>
        <w:t>issement partenaire.</w:t>
      </w:r>
    </w:p>
    <w:p w:rsidR="00A64441" w:rsidRDefault="00FC2D57" w:rsidP="00582464">
      <w:pPr>
        <w:spacing w:line="276" w:lineRule="auto"/>
        <w:ind w:firstLine="284"/>
        <w:jc w:val="both"/>
        <w:rPr>
          <w:rFonts w:asciiTheme="majorBidi" w:hAnsiTheme="majorBidi" w:cstheme="majorBidi"/>
          <w:sz w:val="24"/>
          <w:szCs w:val="24"/>
        </w:rPr>
      </w:pPr>
      <w:r w:rsidRPr="00A64441">
        <w:rPr>
          <w:rFonts w:asciiTheme="majorBidi" w:hAnsiTheme="majorBidi" w:cstheme="majorBidi"/>
          <w:sz w:val="24"/>
          <w:szCs w:val="24"/>
        </w:rPr>
        <w:t>Cette</w:t>
      </w:r>
      <w:r w:rsidR="00B86E92" w:rsidRPr="00A64441">
        <w:rPr>
          <w:rFonts w:asciiTheme="majorBidi" w:hAnsiTheme="majorBidi" w:cstheme="majorBidi"/>
          <w:sz w:val="24"/>
          <w:szCs w:val="24"/>
        </w:rPr>
        <w:t xml:space="preserve"> démarche permet d’observer deux impacts distinct</w:t>
      </w:r>
      <w:r w:rsidRPr="00A64441">
        <w:rPr>
          <w:rFonts w:asciiTheme="majorBidi" w:hAnsiTheme="majorBidi" w:cstheme="majorBidi"/>
          <w:sz w:val="24"/>
          <w:szCs w:val="24"/>
        </w:rPr>
        <w:t>s</w:t>
      </w:r>
      <w:r w:rsidR="00B86E92" w:rsidRPr="00A64441">
        <w:rPr>
          <w:rFonts w:asciiTheme="majorBidi" w:hAnsiTheme="majorBidi" w:cstheme="majorBidi"/>
          <w:sz w:val="24"/>
          <w:szCs w:val="24"/>
        </w:rPr>
        <w:t xml:space="preserve">. Le premier au niveau </w:t>
      </w:r>
      <w:r w:rsidRPr="00A64441">
        <w:rPr>
          <w:rFonts w:asciiTheme="majorBidi" w:hAnsiTheme="majorBidi" w:cstheme="majorBidi"/>
          <w:sz w:val="24"/>
          <w:szCs w:val="24"/>
        </w:rPr>
        <w:t>individuel</w:t>
      </w:r>
      <w:r w:rsidR="00B86E92" w:rsidRPr="00A64441">
        <w:rPr>
          <w:rFonts w:asciiTheme="majorBidi" w:hAnsiTheme="majorBidi" w:cstheme="majorBidi"/>
          <w:sz w:val="24"/>
          <w:szCs w:val="24"/>
        </w:rPr>
        <w:t>, celui de</w:t>
      </w:r>
      <w:r w:rsidR="003F6C61" w:rsidRPr="00A64441">
        <w:rPr>
          <w:rFonts w:asciiTheme="majorBidi" w:hAnsiTheme="majorBidi" w:cstheme="majorBidi"/>
          <w:sz w:val="24"/>
          <w:szCs w:val="24"/>
        </w:rPr>
        <w:t xml:space="preserve">s </w:t>
      </w:r>
      <w:r w:rsidR="00B86E92" w:rsidRPr="00A64441">
        <w:rPr>
          <w:rFonts w:asciiTheme="majorBidi" w:hAnsiTheme="majorBidi" w:cstheme="majorBidi"/>
          <w:sz w:val="24"/>
          <w:szCs w:val="24"/>
        </w:rPr>
        <w:t>étudiant</w:t>
      </w:r>
      <w:r w:rsidR="003F6C61" w:rsidRPr="00A64441">
        <w:rPr>
          <w:rFonts w:asciiTheme="majorBidi" w:hAnsiTheme="majorBidi" w:cstheme="majorBidi"/>
          <w:sz w:val="24"/>
          <w:szCs w:val="24"/>
        </w:rPr>
        <w:t>s</w:t>
      </w:r>
      <w:r w:rsidR="0051622A">
        <w:rPr>
          <w:rFonts w:asciiTheme="majorBidi" w:hAnsiTheme="majorBidi" w:cstheme="majorBidi"/>
          <w:sz w:val="24"/>
          <w:szCs w:val="24"/>
        </w:rPr>
        <w:t xml:space="preserve"> participants</w:t>
      </w:r>
      <w:r w:rsidR="00043DA5">
        <w:rPr>
          <w:rFonts w:asciiTheme="majorBidi" w:hAnsiTheme="majorBidi" w:cstheme="majorBidi"/>
          <w:sz w:val="24"/>
          <w:szCs w:val="24"/>
        </w:rPr>
        <w:t xml:space="preserve">, où la mobilité leur offre </w:t>
      </w:r>
      <w:r w:rsidR="00F61896" w:rsidRPr="003235EA">
        <w:rPr>
          <w:rFonts w:asciiTheme="majorBidi" w:hAnsiTheme="majorBidi" w:cstheme="majorBidi"/>
          <w:sz w:val="24"/>
          <w:szCs w:val="24"/>
        </w:rPr>
        <w:t>une ouverture d'esprit et une perspective globale</w:t>
      </w:r>
      <w:r w:rsidR="00F61896">
        <w:rPr>
          <w:rFonts w:asciiTheme="majorBidi" w:hAnsiTheme="majorBidi" w:cstheme="majorBidi"/>
          <w:sz w:val="24"/>
          <w:szCs w:val="24"/>
        </w:rPr>
        <w:t xml:space="preserve">. </w:t>
      </w:r>
      <w:r w:rsidR="00043DA5">
        <w:rPr>
          <w:rFonts w:asciiTheme="majorBidi" w:hAnsiTheme="majorBidi" w:cstheme="majorBidi"/>
          <w:sz w:val="24"/>
          <w:szCs w:val="24"/>
        </w:rPr>
        <w:t>En plus de</w:t>
      </w:r>
      <w:r w:rsidR="003F6C61" w:rsidRPr="003235EA">
        <w:rPr>
          <w:rFonts w:asciiTheme="majorBidi" w:hAnsiTheme="majorBidi" w:cstheme="majorBidi"/>
          <w:sz w:val="24"/>
          <w:szCs w:val="24"/>
        </w:rPr>
        <w:t>l’acquisition</w:t>
      </w:r>
      <w:r w:rsidR="003F6C61">
        <w:rPr>
          <w:rFonts w:asciiTheme="majorBidi" w:hAnsiTheme="majorBidi" w:cstheme="majorBidi"/>
          <w:sz w:val="24"/>
          <w:szCs w:val="24"/>
        </w:rPr>
        <w:t xml:space="preserve"> de compétences linguistiques</w:t>
      </w:r>
      <w:r w:rsidR="00A64441">
        <w:rPr>
          <w:rFonts w:asciiTheme="majorBidi" w:hAnsiTheme="majorBidi" w:cstheme="majorBidi"/>
          <w:sz w:val="24"/>
          <w:szCs w:val="24"/>
        </w:rPr>
        <w:t xml:space="preserve"> et </w:t>
      </w:r>
      <w:r w:rsidR="003F6C61">
        <w:rPr>
          <w:rFonts w:asciiTheme="majorBidi" w:hAnsiTheme="majorBidi" w:cstheme="majorBidi"/>
          <w:sz w:val="24"/>
          <w:szCs w:val="24"/>
        </w:rPr>
        <w:t xml:space="preserve">le </w:t>
      </w:r>
      <w:r w:rsidR="00043DA5">
        <w:rPr>
          <w:rFonts w:asciiTheme="majorBidi" w:hAnsiTheme="majorBidi" w:cstheme="majorBidi"/>
          <w:sz w:val="24"/>
          <w:szCs w:val="24"/>
        </w:rPr>
        <w:t>renforcement</w:t>
      </w:r>
      <w:r w:rsidR="003F6C61">
        <w:rPr>
          <w:rFonts w:asciiTheme="majorBidi" w:hAnsiTheme="majorBidi" w:cstheme="majorBidi"/>
          <w:sz w:val="24"/>
          <w:szCs w:val="24"/>
        </w:rPr>
        <w:t xml:space="preserve"> des acquis techniques via la pertinence de </w:t>
      </w:r>
      <w:r w:rsidR="00A64441">
        <w:rPr>
          <w:rFonts w:asciiTheme="majorBidi" w:hAnsiTheme="majorBidi" w:cstheme="majorBidi"/>
          <w:sz w:val="24"/>
          <w:szCs w:val="24"/>
        </w:rPr>
        <w:t>leur éducation supérieure</w:t>
      </w:r>
      <w:r w:rsidR="003F6C61">
        <w:rPr>
          <w:rFonts w:asciiTheme="majorBidi" w:hAnsiTheme="majorBidi" w:cstheme="majorBidi"/>
          <w:sz w:val="24"/>
          <w:szCs w:val="24"/>
        </w:rPr>
        <w:t xml:space="preserve">, </w:t>
      </w:r>
      <w:r w:rsidR="00043DA5">
        <w:rPr>
          <w:rFonts w:asciiTheme="majorBidi" w:hAnsiTheme="majorBidi" w:cstheme="majorBidi"/>
          <w:sz w:val="24"/>
          <w:szCs w:val="24"/>
        </w:rPr>
        <w:t>les étudiants développent des compétences non techniques</w:t>
      </w:r>
      <w:r w:rsidR="003F6C61">
        <w:rPr>
          <w:rFonts w:asciiTheme="majorBidi" w:hAnsiTheme="majorBidi" w:cstheme="majorBidi"/>
          <w:sz w:val="24"/>
          <w:szCs w:val="24"/>
        </w:rPr>
        <w:t xml:space="preserve"> via </w:t>
      </w:r>
      <w:r w:rsidR="003F6C61" w:rsidRPr="003235EA">
        <w:rPr>
          <w:rFonts w:asciiTheme="majorBidi" w:hAnsiTheme="majorBidi" w:cstheme="majorBidi"/>
          <w:sz w:val="24"/>
          <w:szCs w:val="24"/>
        </w:rPr>
        <w:t xml:space="preserve">l'immersion dans une autre </w:t>
      </w:r>
      <w:r w:rsidR="00A64441">
        <w:rPr>
          <w:rFonts w:asciiTheme="majorBidi" w:hAnsiTheme="majorBidi" w:cstheme="majorBidi"/>
          <w:sz w:val="24"/>
          <w:szCs w:val="24"/>
        </w:rPr>
        <w:t>culture,l’adaptabilité a</w:t>
      </w:r>
      <w:r w:rsidR="003F6C61">
        <w:rPr>
          <w:rFonts w:asciiTheme="majorBidi" w:hAnsiTheme="majorBidi" w:cstheme="majorBidi"/>
          <w:sz w:val="24"/>
          <w:szCs w:val="24"/>
        </w:rPr>
        <w:t xml:space="preserve"> de nouveau</w:t>
      </w:r>
      <w:r w:rsidR="00A64441">
        <w:rPr>
          <w:rFonts w:asciiTheme="majorBidi" w:hAnsiTheme="majorBidi" w:cstheme="majorBidi"/>
          <w:sz w:val="24"/>
          <w:szCs w:val="24"/>
        </w:rPr>
        <w:t>xenvironnements et la capac</w:t>
      </w:r>
      <w:r w:rsidR="00043DA5">
        <w:rPr>
          <w:rFonts w:asciiTheme="majorBidi" w:hAnsiTheme="majorBidi" w:cstheme="majorBidi"/>
          <w:sz w:val="24"/>
          <w:szCs w:val="24"/>
        </w:rPr>
        <w:t xml:space="preserve">ité de résolution de problèmes. </w:t>
      </w:r>
      <w:r w:rsidR="00043DA5" w:rsidRPr="00582464">
        <w:rPr>
          <w:rFonts w:asciiTheme="majorBidi" w:hAnsiTheme="majorBidi" w:cstheme="majorBidi"/>
          <w:sz w:val="24"/>
          <w:szCs w:val="24"/>
        </w:rPr>
        <w:t>C</w:t>
      </w:r>
      <w:r w:rsidR="00582464" w:rsidRPr="00582464">
        <w:rPr>
          <w:rFonts w:asciiTheme="majorBidi" w:hAnsiTheme="majorBidi" w:cstheme="majorBidi"/>
          <w:sz w:val="24"/>
          <w:szCs w:val="24"/>
        </w:rPr>
        <w:t xml:space="preserve">ette combinaison de compétences se traduit par </w:t>
      </w:r>
      <w:r w:rsidR="00043DA5" w:rsidRPr="00582464">
        <w:rPr>
          <w:rFonts w:asciiTheme="majorBidi" w:hAnsiTheme="majorBidi" w:cstheme="majorBidi"/>
          <w:sz w:val="24"/>
          <w:szCs w:val="24"/>
        </w:rPr>
        <w:t xml:space="preserve">un profil plus attrayant </w:t>
      </w:r>
      <w:r w:rsidR="00582464" w:rsidRPr="00582464">
        <w:rPr>
          <w:rFonts w:asciiTheme="majorBidi" w:hAnsiTheme="majorBidi" w:cstheme="majorBidi"/>
          <w:sz w:val="24"/>
          <w:szCs w:val="24"/>
        </w:rPr>
        <w:t>sur</w:t>
      </w:r>
      <w:r w:rsidR="00A64441" w:rsidRPr="00582464">
        <w:rPr>
          <w:rFonts w:asciiTheme="majorBidi" w:hAnsiTheme="majorBidi" w:cstheme="majorBidi"/>
          <w:sz w:val="24"/>
          <w:szCs w:val="24"/>
        </w:rPr>
        <w:t xml:space="preserve"> le marché de travail.</w:t>
      </w:r>
    </w:p>
    <w:p w:rsidR="006657E8" w:rsidRDefault="00A64441" w:rsidP="0079447A">
      <w:pPr>
        <w:spacing w:line="276" w:lineRule="auto"/>
        <w:ind w:firstLine="284"/>
        <w:jc w:val="both"/>
        <w:rPr>
          <w:rFonts w:asciiTheme="majorBidi" w:hAnsiTheme="majorBidi" w:cstheme="majorBidi"/>
          <w:sz w:val="24"/>
          <w:szCs w:val="24"/>
          <w:highlight w:val="green"/>
          <w:rtl/>
        </w:rPr>
      </w:pPr>
      <w:r>
        <w:rPr>
          <w:rFonts w:asciiTheme="majorBidi" w:hAnsiTheme="majorBidi" w:cstheme="majorBidi"/>
          <w:sz w:val="24"/>
          <w:szCs w:val="24"/>
        </w:rPr>
        <w:t>Le deuxième impact, au niveau institutionnel</w:t>
      </w:r>
      <w:r w:rsidR="0051622A">
        <w:rPr>
          <w:rFonts w:asciiTheme="majorBidi" w:hAnsiTheme="majorBidi" w:cstheme="majorBidi"/>
          <w:sz w:val="24"/>
          <w:szCs w:val="24"/>
        </w:rPr>
        <w:t xml:space="preserve">, celui des établissements participants, </w:t>
      </w:r>
      <w:r w:rsidR="0079447A">
        <w:rPr>
          <w:rFonts w:asciiTheme="majorBidi" w:hAnsiTheme="majorBidi" w:cstheme="majorBidi"/>
          <w:sz w:val="24"/>
          <w:szCs w:val="24"/>
        </w:rPr>
        <w:t xml:space="preserve">est constaté </w:t>
      </w:r>
      <w:r w:rsidR="0051622A">
        <w:rPr>
          <w:rFonts w:asciiTheme="majorBidi" w:hAnsiTheme="majorBidi" w:cstheme="majorBidi"/>
          <w:sz w:val="24"/>
          <w:szCs w:val="24"/>
        </w:rPr>
        <w:t>viale partenariatde</w:t>
      </w:r>
      <w:r w:rsidR="0051622A" w:rsidRPr="00E04E62">
        <w:rPr>
          <w:rFonts w:asciiTheme="majorBidi" w:hAnsiTheme="majorBidi" w:cstheme="majorBidi"/>
          <w:sz w:val="24"/>
          <w:szCs w:val="24"/>
        </w:rPr>
        <w:t xml:space="preserve"> mobilité</w:t>
      </w:r>
      <w:r w:rsidR="0079447A">
        <w:rPr>
          <w:rFonts w:asciiTheme="majorBidi" w:hAnsiTheme="majorBidi" w:cstheme="majorBidi"/>
          <w:sz w:val="24"/>
          <w:szCs w:val="24"/>
        </w:rPr>
        <w:t xml:space="preserve">. Ce dernier, est lui-même </w:t>
      </w:r>
      <w:r w:rsidR="0051622A" w:rsidRPr="00E04E62">
        <w:rPr>
          <w:rFonts w:asciiTheme="majorBidi" w:hAnsiTheme="majorBidi" w:cstheme="majorBidi"/>
          <w:sz w:val="24"/>
          <w:szCs w:val="24"/>
        </w:rPr>
        <w:t xml:space="preserve">un exercice d'assurance qualité </w:t>
      </w:r>
      <w:r w:rsidR="0079447A">
        <w:rPr>
          <w:rFonts w:asciiTheme="majorBidi" w:hAnsiTheme="majorBidi" w:cstheme="majorBidi"/>
          <w:sz w:val="24"/>
          <w:szCs w:val="24"/>
        </w:rPr>
        <w:t>qui pousse</w:t>
      </w:r>
      <w:r w:rsidR="0051622A">
        <w:rPr>
          <w:rFonts w:asciiTheme="majorBidi" w:hAnsiTheme="majorBidi" w:cstheme="majorBidi"/>
          <w:sz w:val="24"/>
          <w:szCs w:val="24"/>
        </w:rPr>
        <w:t xml:space="preserve"> les institutions</w:t>
      </w:r>
      <w:r w:rsidR="0051622A" w:rsidRPr="00E04E62">
        <w:rPr>
          <w:rFonts w:asciiTheme="majorBidi" w:hAnsiTheme="majorBidi" w:cstheme="majorBidi"/>
          <w:sz w:val="24"/>
          <w:szCs w:val="24"/>
        </w:rPr>
        <w:t xml:space="preserve"> à comparer leurs programmes, leurs standards académiques et leurs pratiques pédagogiques</w:t>
      </w:r>
      <w:r w:rsidR="0051622A">
        <w:rPr>
          <w:rFonts w:asciiTheme="majorBidi" w:hAnsiTheme="majorBidi" w:cstheme="majorBidi"/>
          <w:sz w:val="24"/>
          <w:szCs w:val="24"/>
        </w:rPr>
        <w:t>.</w:t>
      </w:r>
      <w:r w:rsidR="00F61896" w:rsidRPr="00AD08D7">
        <w:rPr>
          <w:rFonts w:asciiTheme="majorBidi" w:hAnsiTheme="majorBidi" w:cstheme="majorBidi"/>
          <w:sz w:val="24"/>
          <w:szCs w:val="24"/>
        </w:rPr>
        <w:t xml:space="preserve">Cette confrontation des modèles incite les universités à s'auto-évaluer, </w:t>
      </w:r>
      <w:r w:rsidR="00AD08D7" w:rsidRPr="00AD08D7">
        <w:rPr>
          <w:rFonts w:asciiTheme="majorBidi" w:hAnsiTheme="majorBidi" w:cstheme="majorBidi"/>
          <w:sz w:val="24"/>
          <w:szCs w:val="24"/>
        </w:rPr>
        <w:t>l</w:t>
      </w:r>
      <w:r w:rsidR="00F61896" w:rsidRPr="00AD08D7">
        <w:rPr>
          <w:rFonts w:asciiTheme="majorBidi" w:hAnsiTheme="majorBidi" w:cstheme="majorBidi"/>
          <w:sz w:val="24"/>
          <w:szCs w:val="24"/>
        </w:rPr>
        <w:t>es</w:t>
      </w:r>
      <w:r w:rsidR="00F61896" w:rsidRPr="00E04E62">
        <w:rPr>
          <w:rFonts w:asciiTheme="majorBidi" w:hAnsiTheme="majorBidi" w:cstheme="majorBidi"/>
          <w:sz w:val="24"/>
          <w:szCs w:val="24"/>
        </w:rPr>
        <w:t xml:space="preserve"> programmes sont revus </w:t>
      </w:r>
      <w:r w:rsidR="00F61896">
        <w:rPr>
          <w:rFonts w:asciiTheme="majorBidi" w:hAnsiTheme="majorBidi" w:cstheme="majorBidi"/>
          <w:sz w:val="24"/>
          <w:szCs w:val="24"/>
        </w:rPr>
        <w:t xml:space="preserve">afin de </w:t>
      </w:r>
      <w:r w:rsidR="00F61896" w:rsidRPr="00E04E62">
        <w:rPr>
          <w:rFonts w:asciiTheme="majorBidi" w:hAnsiTheme="majorBidi" w:cstheme="majorBidi"/>
          <w:sz w:val="24"/>
          <w:szCs w:val="24"/>
        </w:rPr>
        <w:t xml:space="preserve">s'aligner </w:t>
      </w:r>
      <w:r w:rsidR="00F61896">
        <w:rPr>
          <w:rFonts w:asciiTheme="majorBidi" w:hAnsiTheme="majorBidi" w:cstheme="majorBidi"/>
          <w:sz w:val="24"/>
          <w:szCs w:val="24"/>
        </w:rPr>
        <w:t xml:space="preserve">avec les </w:t>
      </w:r>
      <w:r w:rsidR="0079447A">
        <w:rPr>
          <w:rFonts w:asciiTheme="majorBidi" w:hAnsiTheme="majorBidi" w:cstheme="majorBidi"/>
          <w:sz w:val="24"/>
          <w:szCs w:val="24"/>
        </w:rPr>
        <w:t>standards internationaux</w:t>
      </w:r>
      <w:r w:rsidR="00F61896" w:rsidRPr="00E04E62">
        <w:rPr>
          <w:rFonts w:asciiTheme="majorBidi" w:hAnsiTheme="majorBidi" w:cstheme="majorBidi"/>
          <w:sz w:val="24"/>
          <w:szCs w:val="24"/>
        </w:rPr>
        <w:t xml:space="preserve"> et les services administratifs s'améliorent pour mieux accueillir les étudiants</w:t>
      </w:r>
      <w:r w:rsidR="00F61896">
        <w:rPr>
          <w:rFonts w:asciiTheme="majorBidi" w:hAnsiTheme="majorBidi" w:cstheme="majorBidi"/>
          <w:sz w:val="24"/>
          <w:szCs w:val="24"/>
        </w:rPr>
        <w:t xml:space="preserve">.La participation et l’effort </w:t>
      </w:r>
      <w:r w:rsidR="00F61896">
        <w:rPr>
          <w:rFonts w:asciiTheme="majorBidi" w:hAnsiTheme="majorBidi" w:cstheme="majorBidi"/>
          <w:sz w:val="24"/>
          <w:szCs w:val="24"/>
        </w:rPr>
        <w:lastRenderedPageBreak/>
        <w:t>fournis lors de programme de mobilité</w:t>
      </w:r>
      <w:r w:rsidR="0079447A">
        <w:rPr>
          <w:rFonts w:asciiTheme="majorBidi" w:hAnsiTheme="majorBidi" w:cstheme="majorBidi"/>
          <w:sz w:val="24"/>
          <w:szCs w:val="24"/>
        </w:rPr>
        <w:t>,</w:t>
      </w:r>
      <w:r w:rsidR="00F61896">
        <w:rPr>
          <w:rFonts w:asciiTheme="majorBidi" w:hAnsiTheme="majorBidi" w:cstheme="majorBidi"/>
          <w:sz w:val="24"/>
          <w:szCs w:val="24"/>
        </w:rPr>
        <w:t xml:space="preserve"> donne un indice sur la capacité de l’institution </w:t>
      </w:r>
      <w:r w:rsidR="00AD08D7">
        <w:rPr>
          <w:rFonts w:asciiTheme="majorBidi" w:hAnsiTheme="majorBidi" w:cstheme="majorBidi"/>
          <w:sz w:val="24"/>
          <w:szCs w:val="24"/>
        </w:rPr>
        <w:t>à</w:t>
      </w:r>
      <w:r w:rsidR="00F61896" w:rsidRPr="003A2B11">
        <w:rPr>
          <w:rFonts w:asciiTheme="majorBidi" w:hAnsiTheme="majorBidi" w:cstheme="majorBidi"/>
          <w:sz w:val="24"/>
          <w:szCs w:val="24"/>
        </w:rPr>
        <w:t>opérer effic</w:t>
      </w:r>
      <w:r w:rsidR="00F61896">
        <w:rPr>
          <w:rFonts w:asciiTheme="majorBidi" w:hAnsiTheme="majorBidi" w:cstheme="majorBidi"/>
          <w:sz w:val="24"/>
          <w:szCs w:val="24"/>
        </w:rPr>
        <w:t xml:space="preserve">acement au niveau international, ce qui a pour effet </w:t>
      </w:r>
      <w:r w:rsidR="00F61896" w:rsidRPr="003A2B11">
        <w:rPr>
          <w:rFonts w:asciiTheme="majorBidi" w:hAnsiTheme="majorBidi" w:cstheme="majorBidi"/>
          <w:sz w:val="24"/>
          <w:szCs w:val="24"/>
        </w:rPr>
        <w:t xml:space="preserve">de renforcer </w:t>
      </w:r>
      <w:r w:rsidR="0079447A">
        <w:rPr>
          <w:rFonts w:asciiTheme="majorBidi" w:hAnsiTheme="majorBidi" w:cstheme="majorBidi"/>
          <w:sz w:val="24"/>
          <w:szCs w:val="24"/>
        </w:rPr>
        <w:t>la</w:t>
      </w:r>
      <w:r w:rsidR="00F61896" w:rsidRPr="003A2B11">
        <w:rPr>
          <w:rFonts w:asciiTheme="majorBidi" w:hAnsiTheme="majorBidi" w:cstheme="majorBidi"/>
          <w:sz w:val="24"/>
          <w:szCs w:val="24"/>
        </w:rPr>
        <w:t xml:space="preserve"> réputation</w:t>
      </w:r>
      <w:r w:rsidR="00F61896">
        <w:rPr>
          <w:rFonts w:asciiTheme="majorBidi" w:hAnsiTheme="majorBidi" w:cstheme="majorBidi"/>
          <w:sz w:val="24"/>
          <w:szCs w:val="24"/>
        </w:rPr>
        <w:t xml:space="preserve"> et </w:t>
      </w:r>
      <w:r w:rsidR="0079447A">
        <w:rPr>
          <w:rFonts w:asciiTheme="majorBidi" w:hAnsiTheme="majorBidi" w:cstheme="majorBidi"/>
          <w:sz w:val="24"/>
          <w:szCs w:val="24"/>
        </w:rPr>
        <w:t>l’</w:t>
      </w:r>
      <w:r w:rsidR="00F61896">
        <w:rPr>
          <w:rFonts w:asciiTheme="majorBidi" w:hAnsiTheme="majorBidi" w:cstheme="majorBidi"/>
          <w:sz w:val="24"/>
          <w:szCs w:val="24"/>
        </w:rPr>
        <w:t xml:space="preserve">attractivité </w:t>
      </w:r>
      <w:r w:rsidR="0079447A">
        <w:rPr>
          <w:rFonts w:asciiTheme="majorBidi" w:hAnsiTheme="majorBidi" w:cstheme="majorBidi"/>
          <w:sz w:val="24"/>
          <w:szCs w:val="24"/>
        </w:rPr>
        <w:t xml:space="preserve">des établissements </w:t>
      </w:r>
      <w:r w:rsidR="00F61896">
        <w:rPr>
          <w:rFonts w:asciiTheme="majorBidi" w:hAnsiTheme="majorBidi" w:cstheme="majorBidi"/>
          <w:sz w:val="24"/>
          <w:szCs w:val="24"/>
        </w:rPr>
        <w:t>auprès de divers partenaires.</w:t>
      </w:r>
    </w:p>
    <w:p w:rsidR="003B15C6" w:rsidRDefault="004B3404" w:rsidP="0079447A">
      <w:pPr>
        <w:pStyle w:val="Paragraphedeliste"/>
        <w:spacing w:line="276" w:lineRule="auto"/>
        <w:ind w:left="0" w:firstLine="284"/>
        <w:jc w:val="both"/>
        <w:rPr>
          <w:rFonts w:asciiTheme="majorBidi" w:hAnsiTheme="majorBidi" w:cstheme="majorBidi"/>
          <w:sz w:val="24"/>
          <w:szCs w:val="24"/>
        </w:rPr>
      </w:pPr>
      <w:r w:rsidRPr="004B3404">
        <w:rPr>
          <w:rFonts w:asciiTheme="majorBidi" w:hAnsiTheme="majorBidi" w:cstheme="majorBidi"/>
          <w:sz w:val="24"/>
          <w:szCs w:val="24"/>
        </w:rPr>
        <w:t xml:space="preserve">Les éléments exposés dans ce travail </w:t>
      </w:r>
      <w:r w:rsidR="00D709CE" w:rsidRPr="004B3404">
        <w:rPr>
          <w:rFonts w:asciiTheme="majorBidi" w:hAnsiTheme="majorBidi" w:cstheme="majorBidi"/>
          <w:sz w:val="24"/>
          <w:szCs w:val="24"/>
        </w:rPr>
        <w:t xml:space="preserve">démontrent que l'assurance qualité, loin d'être un processus bureaucratique imposé, </w:t>
      </w:r>
      <w:r w:rsidRPr="004B3404">
        <w:rPr>
          <w:rFonts w:asciiTheme="majorBidi" w:hAnsiTheme="majorBidi" w:cstheme="majorBidi"/>
          <w:sz w:val="24"/>
          <w:szCs w:val="24"/>
        </w:rPr>
        <w:t>peu</w:t>
      </w:r>
      <w:r w:rsidR="0079447A">
        <w:rPr>
          <w:rFonts w:asciiTheme="majorBidi" w:hAnsiTheme="majorBidi" w:cstheme="majorBidi"/>
          <w:sz w:val="24"/>
          <w:szCs w:val="24"/>
        </w:rPr>
        <w:t xml:space="preserve">t </w:t>
      </w:r>
      <w:r w:rsidR="00D709CE" w:rsidRPr="004B3404">
        <w:rPr>
          <w:rFonts w:asciiTheme="majorBidi" w:hAnsiTheme="majorBidi" w:cstheme="majorBidi"/>
          <w:sz w:val="24"/>
          <w:szCs w:val="24"/>
        </w:rPr>
        <w:t>émerge</w:t>
      </w:r>
      <w:r w:rsidR="0079447A">
        <w:rPr>
          <w:rFonts w:asciiTheme="majorBidi" w:hAnsiTheme="majorBidi" w:cstheme="majorBidi"/>
          <w:sz w:val="24"/>
          <w:szCs w:val="24"/>
        </w:rPr>
        <w:t>r</w:t>
      </w:r>
      <w:r w:rsidR="00D709CE" w:rsidRPr="004B3404">
        <w:rPr>
          <w:rFonts w:asciiTheme="majorBidi" w:hAnsiTheme="majorBidi" w:cstheme="majorBidi"/>
          <w:sz w:val="24"/>
          <w:szCs w:val="24"/>
        </w:rPr>
        <w:t xml:space="preserve"> naturellement des synergies créées par la mobilité. Le programme Erasmus agit comme une plateforme d'évaluation</w:t>
      </w:r>
      <w:r w:rsidR="0079447A">
        <w:rPr>
          <w:rFonts w:asciiTheme="majorBidi" w:hAnsiTheme="majorBidi" w:cstheme="majorBidi"/>
          <w:sz w:val="24"/>
          <w:szCs w:val="24"/>
        </w:rPr>
        <w:t xml:space="preserve"> par les pairs à grande échelle</w:t>
      </w:r>
      <w:r w:rsidR="00D709CE" w:rsidRPr="004B3404">
        <w:rPr>
          <w:rFonts w:asciiTheme="majorBidi" w:hAnsiTheme="majorBidi" w:cstheme="majorBidi"/>
          <w:sz w:val="24"/>
          <w:szCs w:val="24"/>
        </w:rPr>
        <w:t xml:space="preserve"> où la réputation et la pérennité des partenariats</w:t>
      </w:r>
      <w:r w:rsidR="0079447A">
        <w:rPr>
          <w:rFonts w:asciiTheme="majorBidi" w:hAnsiTheme="majorBidi" w:cstheme="majorBidi"/>
          <w:sz w:val="24"/>
          <w:szCs w:val="24"/>
        </w:rPr>
        <w:t>,</w:t>
      </w:r>
      <w:r w:rsidR="00D709CE" w:rsidRPr="004B3404">
        <w:rPr>
          <w:rFonts w:asciiTheme="majorBidi" w:hAnsiTheme="majorBidi" w:cstheme="majorBidi"/>
          <w:sz w:val="24"/>
          <w:szCs w:val="24"/>
        </w:rPr>
        <w:t xml:space="preserve"> dépendent directement de l'exigence mutuelle des institutions. Ainsi, la mobilité </w:t>
      </w:r>
      <w:r w:rsidR="0079447A">
        <w:rPr>
          <w:rFonts w:asciiTheme="majorBidi" w:hAnsiTheme="majorBidi" w:cstheme="majorBidi"/>
          <w:sz w:val="24"/>
          <w:szCs w:val="24"/>
        </w:rPr>
        <w:t xml:space="preserve">des </w:t>
      </w:r>
      <w:r w:rsidR="00D709CE" w:rsidRPr="004B3404">
        <w:rPr>
          <w:rFonts w:asciiTheme="majorBidi" w:hAnsiTheme="majorBidi" w:cstheme="majorBidi"/>
          <w:sz w:val="24"/>
          <w:szCs w:val="24"/>
        </w:rPr>
        <w:t>étudiant</w:t>
      </w:r>
      <w:r w:rsidR="0079447A">
        <w:rPr>
          <w:rFonts w:asciiTheme="majorBidi" w:hAnsiTheme="majorBidi" w:cstheme="majorBidi"/>
          <w:sz w:val="24"/>
          <w:szCs w:val="24"/>
        </w:rPr>
        <w:t>s</w:t>
      </w:r>
      <w:r w:rsidR="00D709CE" w:rsidRPr="004B3404">
        <w:rPr>
          <w:rFonts w:asciiTheme="majorBidi" w:hAnsiTheme="majorBidi" w:cstheme="majorBidi"/>
          <w:sz w:val="24"/>
          <w:szCs w:val="24"/>
        </w:rPr>
        <w:t xml:space="preserve"> ne se limite pa</w:t>
      </w:r>
      <w:r w:rsidR="0079447A">
        <w:rPr>
          <w:rFonts w:asciiTheme="majorBidi" w:hAnsiTheme="majorBidi" w:cstheme="majorBidi"/>
          <w:sz w:val="24"/>
          <w:szCs w:val="24"/>
        </w:rPr>
        <w:t>s à une expérience individuelle,</w:t>
      </w:r>
      <w:r w:rsidR="00D709CE" w:rsidRPr="004B3404">
        <w:rPr>
          <w:rFonts w:asciiTheme="majorBidi" w:hAnsiTheme="majorBidi" w:cstheme="majorBidi"/>
          <w:sz w:val="24"/>
          <w:szCs w:val="24"/>
        </w:rPr>
        <w:t xml:space="preserve"> elle </w:t>
      </w:r>
      <w:r w:rsidR="0079447A">
        <w:rPr>
          <w:rFonts w:asciiTheme="majorBidi" w:hAnsiTheme="majorBidi" w:cstheme="majorBidi"/>
          <w:sz w:val="24"/>
          <w:szCs w:val="24"/>
        </w:rPr>
        <w:t xml:space="preserve">est aussi </w:t>
      </w:r>
      <w:r w:rsidR="00D709CE" w:rsidRPr="004B3404">
        <w:rPr>
          <w:rFonts w:asciiTheme="majorBidi" w:hAnsiTheme="majorBidi" w:cstheme="majorBidi"/>
          <w:sz w:val="24"/>
          <w:szCs w:val="24"/>
        </w:rPr>
        <w:t>un catalyseur collectif de progrès pour l'enseignement supérieur.</w:t>
      </w:r>
    </w:p>
    <w:sdt>
      <w:sdtPr>
        <w:rPr>
          <w:rFonts w:asciiTheme="minorHAnsi" w:eastAsiaTheme="minorHAnsi" w:hAnsiTheme="minorHAnsi" w:cstheme="minorBidi"/>
          <w:color w:val="auto"/>
          <w:sz w:val="22"/>
          <w:szCs w:val="22"/>
          <w:lang w:val="fr-FR"/>
        </w:rPr>
        <w:id w:val="-845325233"/>
        <w:docPartObj>
          <w:docPartGallery w:val="Bibliographies"/>
          <w:docPartUnique/>
        </w:docPartObj>
      </w:sdtPr>
      <w:sdtContent>
        <w:p w:rsidR="00850DE0" w:rsidRPr="00A867C5" w:rsidRDefault="00850DE0">
          <w:pPr>
            <w:pStyle w:val="Titre1"/>
            <w:rPr>
              <w:rFonts w:asciiTheme="majorBidi" w:hAnsiTheme="majorBidi"/>
              <w:color w:val="auto"/>
              <w:sz w:val="28"/>
              <w:szCs w:val="28"/>
              <w:lang w:val="fr-FR"/>
            </w:rPr>
          </w:pPr>
          <w:r w:rsidRPr="00A867C5">
            <w:rPr>
              <w:rFonts w:asciiTheme="majorBidi" w:hAnsiTheme="majorBidi"/>
              <w:color w:val="auto"/>
              <w:sz w:val="28"/>
              <w:szCs w:val="28"/>
              <w:lang w:val="fr-FR"/>
            </w:rPr>
            <w:t>Bibliography</w:t>
          </w:r>
        </w:p>
        <w:p w:rsidR="00850DE0" w:rsidRPr="00A867C5" w:rsidRDefault="00850DE0" w:rsidP="00850DE0">
          <w:pPr>
            <w:rPr>
              <w:rFonts w:asciiTheme="majorBidi" w:hAnsiTheme="majorBidi" w:cstheme="majorBidi"/>
              <w:sz w:val="2"/>
              <w:szCs w:val="2"/>
            </w:rPr>
          </w:pPr>
        </w:p>
        <w:sdt>
          <w:sdtPr>
            <w:rPr>
              <w:rFonts w:asciiTheme="majorBidi" w:hAnsiTheme="majorBidi" w:cstheme="majorBidi"/>
              <w:sz w:val="24"/>
              <w:szCs w:val="24"/>
            </w:rPr>
            <w:id w:val="111145805"/>
            <w:bibliography/>
          </w:sdtPr>
          <w:sdtEndPr>
            <w:rPr>
              <w:rFonts w:asciiTheme="minorHAnsi" w:hAnsiTheme="minorHAnsi" w:cstheme="minorBidi"/>
              <w:sz w:val="22"/>
              <w:szCs w:val="22"/>
            </w:rPr>
          </w:sdtEndPr>
          <w:sdtContent>
            <w:p w:rsidR="00A867C5" w:rsidRPr="00A867C5" w:rsidRDefault="00A7025B" w:rsidP="00A867C5">
              <w:pPr>
                <w:pStyle w:val="Bibliographie"/>
                <w:ind w:left="720" w:hanging="720"/>
                <w:jc w:val="both"/>
                <w:rPr>
                  <w:rFonts w:asciiTheme="majorBidi" w:hAnsiTheme="majorBidi" w:cstheme="majorBidi"/>
                  <w:noProof/>
                  <w:sz w:val="24"/>
                  <w:szCs w:val="24"/>
                </w:rPr>
              </w:pPr>
              <w:r w:rsidRPr="00A7025B">
                <w:rPr>
                  <w:rFonts w:asciiTheme="majorBidi" w:hAnsiTheme="majorBidi" w:cstheme="majorBidi"/>
                  <w:sz w:val="24"/>
                  <w:szCs w:val="24"/>
                </w:rPr>
                <w:fldChar w:fldCharType="begin"/>
              </w:r>
              <w:r w:rsidR="00850DE0" w:rsidRPr="00A867C5">
                <w:rPr>
                  <w:rFonts w:asciiTheme="majorBidi" w:hAnsiTheme="majorBidi" w:cstheme="majorBidi"/>
                  <w:sz w:val="24"/>
                  <w:szCs w:val="24"/>
                </w:rPr>
                <w:instrText xml:space="preserve"> BIBLIOGRAPHY </w:instrText>
              </w:r>
              <w:r w:rsidRPr="00A7025B">
                <w:rPr>
                  <w:rFonts w:asciiTheme="majorBidi" w:hAnsiTheme="majorBidi" w:cstheme="majorBidi"/>
                  <w:sz w:val="24"/>
                  <w:szCs w:val="24"/>
                </w:rPr>
                <w:fldChar w:fldCharType="separate"/>
              </w:r>
              <w:r w:rsidR="00A867C5" w:rsidRPr="00A867C5">
                <w:rPr>
                  <w:rFonts w:asciiTheme="majorBidi" w:hAnsiTheme="majorBidi" w:cstheme="majorBidi"/>
                  <w:noProof/>
                  <w:sz w:val="24"/>
                  <w:szCs w:val="24"/>
                </w:rPr>
                <w:t xml:space="preserve">Agence Erasmus+ France. (2021). </w:t>
              </w:r>
              <w:r w:rsidR="00A867C5" w:rsidRPr="00A867C5">
                <w:rPr>
                  <w:rFonts w:asciiTheme="majorBidi" w:hAnsiTheme="majorBidi" w:cstheme="majorBidi"/>
                  <w:i/>
                  <w:iCs/>
                  <w:noProof/>
                  <w:sz w:val="24"/>
                  <w:szCs w:val="24"/>
                </w:rPr>
                <w:t>Bilan du programme Erasmus + 2014-2020 en France.</w:t>
              </w:r>
              <w:r w:rsidR="00A867C5" w:rsidRPr="00A867C5">
                <w:rPr>
                  <w:rFonts w:asciiTheme="majorBidi" w:hAnsiTheme="majorBidi" w:cstheme="majorBidi"/>
                  <w:noProof/>
                  <w:sz w:val="24"/>
                  <w:szCs w:val="24"/>
                </w:rPr>
                <w:t xml:space="preserve"> Récupéré sur https://agence.erasmusplus.fr/wp-content/uploads/2025/03/CP-Erasmus-Bilan1420-Perspectives2127-6.pdf</w:t>
              </w:r>
            </w:p>
            <w:p w:rsidR="00A867C5" w:rsidRPr="00A867C5" w:rsidRDefault="00A867C5" w:rsidP="00A867C5">
              <w:pPr>
                <w:pStyle w:val="Bibliographie"/>
                <w:ind w:left="720" w:hanging="720"/>
                <w:jc w:val="both"/>
                <w:rPr>
                  <w:rFonts w:asciiTheme="majorBidi" w:hAnsiTheme="majorBidi" w:cstheme="majorBidi"/>
                  <w:noProof/>
                  <w:sz w:val="24"/>
                  <w:szCs w:val="24"/>
                  <w:lang w:val="en-US"/>
                </w:rPr>
              </w:pPr>
              <w:r w:rsidRPr="00A867C5">
                <w:rPr>
                  <w:rFonts w:asciiTheme="majorBidi" w:hAnsiTheme="majorBidi" w:cstheme="majorBidi"/>
                  <w:noProof/>
                  <w:sz w:val="24"/>
                  <w:szCs w:val="24"/>
                  <w:lang w:val="en-US"/>
                </w:rPr>
                <w:t xml:space="preserve">Altbach, P. G. (2004). Globalization and the university: Myths and realities in an unequal world. Higher Educationt. </w:t>
              </w:r>
              <w:r w:rsidRPr="00A867C5">
                <w:rPr>
                  <w:rFonts w:asciiTheme="majorBidi" w:hAnsiTheme="majorBidi" w:cstheme="majorBidi"/>
                  <w:i/>
                  <w:iCs/>
                  <w:noProof/>
                  <w:sz w:val="24"/>
                  <w:szCs w:val="24"/>
                  <w:lang w:val="en-US"/>
                </w:rPr>
                <w:t>48</w:t>
              </w:r>
              <w:r w:rsidRPr="00A867C5">
                <w:rPr>
                  <w:rFonts w:asciiTheme="majorBidi" w:hAnsiTheme="majorBidi" w:cstheme="majorBidi"/>
                  <w:noProof/>
                  <w:sz w:val="24"/>
                  <w:szCs w:val="24"/>
                  <w:lang w:val="en-US"/>
                </w:rPr>
                <w:t>(02), 195-212.</w:t>
              </w:r>
            </w:p>
            <w:p w:rsidR="00A867C5" w:rsidRPr="00A867C5" w:rsidRDefault="00A867C5" w:rsidP="00A867C5">
              <w:pPr>
                <w:pStyle w:val="Bibliographie"/>
                <w:ind w:left="720" w:hanging="720"/>
                <w:jc w:val="both"/>
                <w:rPr>
                  <w:rFonts w:asciiTheme="majorBidi" w:hAnsiTheme="majorBidi" w:cstheme="majorBidi"/>
                  <w:noProof/>
                  <w:sz w:val="24"/>
                  <w:szCs w:val="24"/>
                  <w:lang w:val="en-US"/>
                </w:rPr>
              </w:pPr>
              <w:r w:rsidRPr="00A867C5">
                <w:rPr>
                  <w:rFonts w:asciiTheme="majorBidi" w:hAnsiTheme="majorBidi" w:cstheme="majorBidi"/>
                  <w:noProof/>
                  <w:sz w:val="24"/>
                  <w:szCs w:val="24"/>
                  <w:lang w:val="en-US"/>
                </w:rPr>
                <w:t xml:space="preserve">Andreou, E., Deliou, C., &amp; Malagkoniari, M. (2023). Graduate students' perspectives on their acquired skills following the Erasmus+ Programme. </w:t>
              </w:r>
              <w:r w:rsidRPr="00A867C5">
                <w:rPr>
                  <w:rFonts w:asciiTheme="majorBidi" w:hAnsiTheme="majorBidi" w:cstheme="majorBidi"/>
                  <w:i/>
                  <w:iCs/>
                  <w:noProof/>
                  <w:sz w:val="24"/>
                  <w:szCs w:val="24"/>
                  <w:lang w:val="en-US"/>
                </w:rPr>
                <w:t>Futurity Education, 3</w:t>
              </w:r>
              <w:r w:rsidRPr="00A867C5">
                <w:rPr>
                  <w:rFonts w:asciiTheme="majorBidi" w:hAnsiTheme="majorBidi" w:cstheme="majorBidi"/>
                  <w:noProof/>
                  <w:sz w:val="24"/>
                  <w:szCs w:val="24"/>
                  <w:lang w:val="en-US"/>
                </w:rPr>
                <w:t>(3), 6-19.</w:t>
              </w:r>
            </w:p>
            <w:p w:rsidR="00A867C5" w:rsidRPr="00A867C5" w:rsidRDefault="00A867C5" w:rsidP="00A867C5">
              <w:pPr>
                <w:pStyle w:val="Bibliographie"/>
                <w:ind w:left="720" w:hanging="720"/>
                <w:jc w:val="both"/>
                <w:rPr>
                  <w:rFonts w:asciiTheme="majorBidi" w:hAnsiTheme="majorBidi" w:cstheme="majorBidi"/>
                  <w:noProof/>
                  <w:sz w:val="24"/>
                  <w:szCs w:val="24"/>
                  <w:lang w:val="en-US"/>
                </w:rPr>
              </w:pPr>
              <w:r w:rsidRPr="00A867C5">
                <w:rPr>
                  <w:rFonts w:asciiTheme="majorBidi" w:hAnsiTheme="majorBidi" w:cstheme="majorBidi"/>
                  <w:noProof/>
                  <w:sz w:val="24"/>
                  <w:szCs w:val="24"/>
                  <w:lang w:val="en-US"/>
                </w:rPr>
                <w:t xml:space="preserve">Commission européenne. (2019). </w:t>
              </w:r>
              <w:r w:rsidRPr="00A867C5">
                <w:rPr>
                  <w:rFonts w:asciiTheme="majorBidi" w:hAnsiTheme="majorBidi" w:cstheme="majorBidi"/>
                  <w:i/>
                  <w:iCs/>
                  <w:noProof/>
                  <w:sz w:val="24"/>
                  <w:szCs w:val="24"/>
                  <w:lang w:val="en-US"/>
                </w:rPr>
                <w:t>Erasmus+ Annual Report 2018.</w:t>
              </w:r>
              <w:r w:rsidRPr="00A867C5">
                <w:rPr>
                  <w:rFonts w:asciiTheme="majorBidi" w:hAnsiTheme="majorBidi" w:cstheme="majorBidi"/>
                  <w:noProof/>
                  <w:sz w:val="24"/>
                  <w:szCs w:val="24"/>
                  <w:lang w:val="en-US"/>
                </w:rPr>
                <w:t xml:space="preserve"> Publications Office of the European Union.</w:t>
              </w:r>
            </w:p>
            <w:p w:rsidR="00A867C5" w:rsidRPr="00A867C5" w:rsidRDefault="00A867C5" w:rsidP="00A867C5">
              <w:pPr>
                <w:pStyle w:val="Bibliographie"/>
                <w:ind w:left="720" w:hanging="720"/>
                <w:jc w:val="both"/>
                <w:rPr>
                  <w:rFonts w:asciiTheme="majorBidi" w:hAnsiTheme="majorBidi" w:cstheme="majorBidi"/>
                  <w:noProof/>
                  <w:sz w:val="24"/>
                  <w:szCs w:val="24"/>
                </w:rPr>
              </w:pPr>
              <w:r w:rsidRPr="00A867C5">
                <w:rPr>
                  <w:rFonts w:asciiTheme="majorBidi" w:hAnsiTheme="majorBidi" w:cstheme="majorBidi"/>
                  <w:noProof/>
                  <w:sz w:val="24"/>
                  <w:szCs w:val="24"/>
                </w:rPr>
                <w:t xml:space="preserve">Commission européenne. (2019). </w:t>
              </w:r>
              <w:r w:rsidRPr="00A867C5">
                <w:rPr>
                  <w:rFonts w:asciiTheme="majorBidi" w:hAnsiTheme="majorBidi" w:cstheme="majorBidi"/>
                  <w:i/>
                  <w:iCs/>
                  <w:noProof/>
                  <w:sz w:val="24"/>
                  <w:szCs w:val="24"/>
                </w:rPr>
                <w:t>Learning Agreement. Guide du programme Erasmus+.</w:t>
              </w:r>
              <w:r w:rsidRPr="00A867C5">
                <w:rPr>
                  <w:rFonts w:asciiTheme="majorBidi" w:hAnsiTheme="majorBidi" w:cstheme="majorBidi"/>
                  <w:noProof/>
                  <w:sz w:val="24"/>
                  <w:szCs w:val="24"/>
                </w:rPr>
                <w:t xml:space="preserve"> Récupéré sur https://erasmus-plus.ec.europa.eu/resources-and-tools/mobility-and-learning-agreements/learning-agreements</w:t>
              </w:r>
            </w:p>
            <w:p w:rsidR="00A867C5" w:rsidRPr="00A867C5" w:rsidRDefault="00A867C5" w:rsidP="00A867C5">
              <w:pPr>
                <w:pStyle w:val="Bibliographie"/>
                <w:ind w:left="720" w:hanging="720"/>
                <w:jc w:val="both"/>
                <w:rPr>
                  <w:rFonts w:asciiTheme="majorBidi" w:hAnsiTheme="majorBidi" w:cstheme="majorBidi"/>
                  <w:noProof/>
                  <w:sz w:val="24"/>
                  <w:szCs w:val="24"/>
                  <w:lang w:val="en-US"/>
                </w:rPr>
              </w:pPr>
              <w:r w:rsidRPr="00E736EB">
                <w:rPr>
                  <w:rFonts w:asciiTheme="majorBidi" w:hAnsiTheme="majorBidi" w:cstheme="majorBidi"/>
                  <w:noProof/>
                  <w:sz w:val="24"/>
                  <w:szCs w:val="24"/>
                  <w:lang w:val="en-GB"/>
                </w:rPr>
                <w:t xml:space="preserve">Commission européenne. (2022). </w:t>
              </w:r>
              <w:r w:rsidRPr="00E736EB">
                <w:rPr>
                  <w:rFonts w:asciiTheme="majorBidi" w:hAnsiTheme="majorBidi" w:cstheme="majorBidi"/>
                  <w:i/>
                  <w:iCs/>
                  <w:noProof/>
                  <w:sz w:val="24"/>
                  <w:szCs w:val="24"/>
                  <w:lang w:val="en-GB"/>
                </w:rPr>
                <w:t>Erasmus+ Annual Report 2021.</w:t>
              </w:r>
              <w:r w:rsidRPr="00A867C5">
                <w:rPr>
                  <w:rFonts w:asciiTheme="majorBidi" w:hAnsiTheme="majorBidi" w:cstheme="majorBidi"/>
                  <w:noProof/>
                  <w:sz w:val="24"/>
                  <w:szCs w:val="24"/>
                  <w:lang w:val="en-US"/>
                </w:rPr>
                <w:t>Publications Office of the European Union.</w:t>
              </w:r>
            </w:p>
            <w:p w:rsidR="00A867C5" w:rsidRPr="00A867C5" w:rsidRDefault="00A867C5" w:rsidP="00A867C5">
              <w:pPr>
                <w:pStyle w:val="Bibliographie"/>
                <w:ind w:left="720" w:hanging="720"/>
                <w:jc w:val="both"/>
                <w:rPr>
                  <w:rFonts w:asciiTheme="majorBidi" w:hAnsiTheme="majorBidi" w:cstheme="majorBidi"/>
                  <w:noProof/>
                  <w:sz w:val="24"/>
                  <w:szCs w:val="24"/>
                  <w:lang w:val="en-US"/>
                </w:rPr>
              </w:pPr>
              <w:r w:rsidRPr="00E736EB">
                <w:rPr>
                  <w:rFonts w:asciiTheme="majorBidi" w:hAnsiTheme="majorBidi" w:cstheme="majorBidi"/>
                  <w:noProof/>
                  <w:sz w:val="24"/>
                  <w:szCs w:val="24"/>
                  <w:lang w:val="en-GB"/>
                </w:rPr>
                <w:t xml:space="preserve">Commission européenne. (2023). </w:t>
              </w:r>
              <w:r w:rsidRPr="00E736EB">
                <w:rPr>
                  <w:rFonts w:asciiTheme="majorBidi" w:hAnsiTheme="majorBidi" w:cstheme="majorBidi"/>
                  <w:i/>
                  <w:iCs/>
                  <w:noProof/>
                  <w:sz w:val="24"/>
                  <w:szCs w:val="24"/>
                  <w:lang w:val="en-GB"/>
                </w:rPr>
                <w:t>Erasmus+ Annual Report 2022.</w:t>
              </w:r>
              <w:r w:rsidRPr="00A867C5">
                <w:rPr>
                  <w:rFonts w:asciiTheme="majorBidi" w:hAnsiTheme="majorBidi" w:cstheme="majorBidi"/>
                  <w:noProof/>
                  <w:sz w:val="24"/>
                  <w:szCs w:val="24"/>
                  <w:lang w:val="en-US"/>
                </w:rPr>
                <w:t>Publications Office of the European Union.</w:t>
              </w:r>
            </w:p>
            <w:p w:rsidR="00A867C5" w:rsidRPr="00A867C5" w:rsidRDefault="00A867C5" w:rsidP="00A867C5">
              <w:pPr>
                <w:pStyle w:val="Bibliographie"/>
                <w:ind w:left="720" w:hanging="720"/>
                <w:jc w:val="both"/>
                <w:rPr>
                  <w:rFonts w:asciiTheme="majorBidi" w:hAnsiTheme="majorBidi" w:cstheme="majorBidi"/>
                  <w:noProof/>
                  <w:sz w:val="24"/>
                  <w:szCs w:val="24"/>
                </w:rPr>
              </w:pPr>
              <w:r w:rsidRPr="00A867C5">
                <w:rPr>
                  <w:rFonts w:asciiTheme="majorBidi" w:hAnsiTheme="majorBidi" w:cstheme="majorBidi"/>
                  <w:noProof/>
                  <w:sz w:val="24"/>
                  <w:szCs w:val="24"/>
                </w:rPr>
                <w:t xml:space="preserve">Erasmus+. (2020). </w:t>
              </w:r>
              <w:r w:rsidRPr="00A867C5">
                <w:rPr>
                  <w:rFonts w:asciiTheme="majorBidi" w:hAnsiTheme="majorBidi" w:cstheme="majorBidi"/>
                  <w:i/>
                  <w:iCs/>
                  <w:noProof/>
                  <w:sz w:val="24"/>
                  <w:szCs w:val="24"/>
                </w:rPr>
                <w:t>Rapport annuel 2019.</w:t>
              </w:r>
              <w:r w:rsidRPr="00A867C5">
                <w:rPr>
                  <w:rFonts w:asciiTheme="majorBidi" w:hAnsiTheme="majorBidi" w:cstheme="majorBidi"/>
                  <w:noProof/>
                  <w:sz w:val="24"/>
                  <w:szCs w:val="24"/>
                </w:rPr>
                <w:t xml:space="preserve"> Agence Erasmus+.</w:t>
              </w:r>
            </w:p>
            <w:p w:rsidR="00A867C5" w:rsidRPr="00E736EB" w:rsidRDefault="00A867C5" w:rsidP="00A867C5">
              <w:pPr>
                <w:pStyle w:val="Bibliographie"/>
                <w:ind w:left="720" w:hanging="720"/>
                <w:jc w:val="both"/>
                <w:rPr>
                  <w:rFonts w:asciiTheme="majorBidi" w:hAnsiTheme="majorBidi" w:cstheme="majorBidi"/>
                  <w:noProof/>
                  <w:sz w:val="24"/>
                  <w:szCs w:val="24"/>
                  <w:lang w:val="en-GB"/>
                </w:rPr>
              </w:pPr>
              <w:r w:rsidRPr="00A867C5">
                <w:rPr>
                  <w:rFonts w:asciiTheme="majorBidi" w:hAnsiTheme="majorBidi" w:cstheme="majorBidi"/>
                  <w:noProof/>
                  <w:sz w:val="24"/>
                  <w:szCs w:val="24"/>
                  <w:lang w:val="en-US"/>
                </w:rPr>
                <w:t xml:space="preserve">ErasmusJobs. (2022). </w:t>
              </w:r>
              <w:r w:rsidRPr="00A867C5">
                <w:rPr>
                  <w:rFonts w:asciiTheme="majorBidi" w:hAnsiTheme="majorBidi" w:cstheme="majorBidi"/>
                  <w:i/>
                  <w:iCs/>
                  <w:noProof/>
                  <w:sz w:val="24"/>
                  <w:szCs w:val="24"/>
                  <w:lang w:val="en-US"/>
                </w:rPr>
                <w:t>Skills gained through Erasmus+ mobility.</w:t>
              </w:r>
              <w:r w:rsidRPr="00E736EB">
                <w:rPr>
                  <w:rFonts w:asciiTheme="majorBidi" w:hAnsiTheme="majorBidi" w:cstheme="majorBidi"/>
                  <w:noProof/>
                  <w:sz w:val="24"/>
                  <w:szCs w:val="24"/>
                  <w:lang w:val="en-GB"/>
                </w:rPr>
                <w:t>ErasmusJobs literature review.</w:t>
              </w:r>
            </w:p>
            <w:p w:rsidR="00A867C5" w:rsidRPr="00A867C5" w:rsidRDefault="007D5123" w:rsidP="00A867C5">
              <w:pPr>
                <w:pStyle w:val="Bibliographie"/>
                <w:ind w:left="720" w:hanging="720"/>
                <w:jc w:val="both"/>
                <w:rPr>
                  <w:rFonts w:asciiTheme="majorBidi" w:hAnsiTheme="majorBidi" w:cstheme="majorBidi"/>
                  <w:noProof/>
                  <w:sz w:val="24"/>
                  <w:szCs w:val="24"/>
                </w:rPr>
              </w:pPr>
              <w:r>
                <w:rPr>
                  <w:rFonts w:asciiTheme="majorBidi" w:hAnsiTheme="majorBidi" w:cstheme="majorBidi"/>
                  <w:noProof/>
                  <w:sz w:val="24"/>
                  <w:szCs w:val="24"/>
                </w:rPr>
                <w:t>E</w:t>
              </w:r>
              <w:r w:rsidR="00A867C5" w:rsidRPr="007D5123">
                <w:rPr>
                  <w:rFonts w:asciiTheme="majorBidi" w:hAnsiTheme="majorBidi" w:cstheme="majorBidi"/>
                  <w:noProof/>
                  <w:sz w:val="24"/>
                  <w:szCs w:val="24"/>
                </w:rPr>
                <w:t>rasmus-plus. (2025, 08 19). Récupéré sur https://erasmus-plus.ec.europa.eu/fr/programme-guide/part-a/eligible countries?#footnote1_8ckic5u</w:t>
              </w:r>
            </w:p>
            <w:p w:rsidR="00A867C5" w:rsidRPr="00A867C5" w:rsidRDefault="00A867C5" w:rsidP="00A867C5">
              <w:pPr>
                <w:pStyle w:val="Bibliographie"/>
                <w:ind w:left="720" w:hanging="720"/>
                <w:jc w:val="both"/>
                <w:rPr>
                  <w:rFonts w:asciiTheme="majorBidi" w:hAnsiTheme="majorBidi" w:cstheme="majorBidi"/>
                  <w:noProof/>
                  <w:sz w:val="24"/>
                  <w:szCs w:val="24"/>
                  <w:lang w:val="en-US"/>
                </w:rPr>
              </w:pPr>
              <w:r w:rsidRPr="00A867C5">
                <w:rPr>
                  <w:rFonts w:asciiTheme="majorBidi" w:hAnsiTheme="majorBidi" w:cstheme="majorBidi"/>
                  <w:noProof/>
                  <w:sz w:val="24"/>
                  <w:szCs w:val="24"/>
                  <w:lang w:val="en-US"/>
                </w:rPr>
                <w:t xml:space="preserve">European Association for Quality Assurance in Higher Education. (2015). </w:t>
              </w:r>
              <w:r w:rsidRPr="00A867C5">
                <w:rPr>
                  <w:rFonts w:asciiTheme="majorBidi" w:hAnsiTheme="majorBidi" w:cstheme="majorBidi"/>
                  <w:i/>
                  <w:iCs/>
                  <w:noProof/>
                  <w:sz w:val="24"/>
                  <w:szCs w:val="24"/>
                  <w:lang w:val="en-US"/>
                </w:rPr>
                <w:t>Standards and Guidelines for Quality Assurance in the European Higher Education Area (ESG).</w:t>
              </w:r>
            </w:p>
            <w:p w:rsidR="00A867C5" w:rsidRPr="00A867C5" w:rsidRDefault="00A867C5" w:rsidP="00A867C5">
              <w:pPr>
                <w:pStyle w:val="Bibliographie"/>
                <w:ind w:left="720" w:hanging="720"/>
                <w:jc w:val="both"/>
                <w:rPr>
                  <w:rFonts w:asciiTheme="majorBidi" w:hAnsiTheme="majorBidi" w:cstheme="majorBidi"/>
                  <w:noProof/>
                  <w:sz w:val="24"/>
                  <w:szCs w:val="24"/>
                  <w:lang w:val="en-US"/>
                </w:rPr>
              </w:pPr>
              <w:r w:rsidRPr="00A867C5">
                <w:rPr>
                  <w:rFonts w:asciiTheme="majorBidi" w:hAnsiTheme="majorBidi" w:cstheme="majorBidi"/>
                  <w:noProof/>
                  <w:sz w:val="24"/>
                  <w:szCs w:val="24"/>
                  <w:lang w:val="en-US"/>
                </w:rPr>
                <w:t xml:space="preserve">European Commission. (2014). </w:t>
              </w:r>
              <w:r w:rsidRPr="00A867C5">
                <w:rPr>
                  <w:rFonts w:asciiTheme="majorBidi" w:hAnsiTheme="majorBidi" w:cstheme="majorBidi"/>
                  <w:i/>
                  <w:iCs/>
                  <w:noProof/>
                  <w:sz w:val="24"/>
                  <w:szCs w:val="24"/>
                  <w:lang w:val="en-US"/>
                </w:rPr>
                <w:t>Erasmus: The European Union Programme for student mobility.</w:t>
              </w:r>
              <w:r w:rsidRPr="00A867C5">
                <w:rPr>
                  <w:rFonts w:asciiTheme="majorBidi" w:hAnsiTheme="majorBidi" w:cstheme="majorBidi"/>
                  <w:noProof/>
                  <w:sz w:val="24"/>
                  <w:szCs w:val="24"/>
                  <w:lang w:val="en-US"/>
                </w:rPr>
                <w:t xml:space="preserve"> Publication Office of the European Union.</w:t>
              </w:r>
            </w:p>
            <w:p w:rsidR="00A867C5" w:rsidRPr="00A867C5" w:rsidRDefault="00A867C5" w:rsidP="00A867C5">
              <w:pPr>
                <w:pStyle w:val="Bibliographie"/>
                <w:ind w:left="720" w:hanging="720"/>
                <w:jc w:val="both"/>
                <w:rPr>
                  <w:rFonts w:asciiTheme="majorBidi" w:hAnsiTheme="majorBidi" w:cstheme="majorBidi"/>
                  <w:noProof/>
                  <w:sz w:val="24"/>
                  <w:szCs w:val="24"/>
                  <w:lang w:val="en-US"/>
                </w:rPr>
              </w:pPr>
              <w:r w:rsidRPr="00A867C5">
                <w:rPr>
                  <w:rFonts w:asciiTheme="majorBidi" w:hAnsiTheme="majorBidi" w:cstheme="majorBidi"/>
                  <w:noProof/>
                  <w:sz w:val="24"/>
                  <w:szCs w:val="24"/>
                  <w:lang w:val="en-US"/>
                </w:rPr>
                <w:lastRenderedPageBreak/>
                <w:t xml:space="preserve">European Education and Culture Executive Agency. (2023). </w:t>
              </w:r>
              <w:r w:rsidRPr="00A867C5">
                <w:rPr>
                  <w:rFonts w:asciiTheme="majorBidi" w:hAnsiTheme="majorBidi" w:cstheme="majorBidi"/>
                  <w:i/>
                  <w:iCs/>
                  <w:noProof/>
                  <w:sz w:val="24"/>
                  <w:szCs w:val="24"/>
                  <w:lang w:val="en-US"/>
                </w:rPr>
                <w:t>Erasmus+ and the European Solidarity Corps: 2023 Annual Work Programme.</w:t>
              </w:r>
              <w:r w:rsidRPr="00A867C5">
                <w:rPr>
                  <w:rFonts w:asciiTheme="majorBidi" w:hAnsiTheme="majorBidi" w:cstheme="majorBidi"/>
                  <w:noProof/>
                  <w:sz w:val="24"/>
                  <w:szCs w:val="24"/>
                  <w:lang w:val="en-US"/>
                </w:rPr>
                <w:t xml:space="preserve"> European Commission.</w:t>
              </w:r>
            </w:p>
            <w:p w:rsidR="00A867C5" w:rsidRPr="00A867C5" w:rsidRDefault="00A867C5" w:rsidP="00A867C5">
              <w:pPr>
                <w:pStyle w:val="Bibliographie"/>
                <w:ind w:left="720" w:hanging="720"/>
                <w:jc w:val="both"/>
                <w:rPr>
                  <w:rFonts w:asciiTheme="majorBidi" w:hAnsiTheme="majorBidi" w:cstheme="majorBidi"/>
                  <w:noProof/>
                  <w:sz w:val="24"/>
                  <w:szCs w:val="24"/>
                  <w:lang w:val="en-US"/>
                </w:rPr>
              </w:pPr>
              <w:r w:rsidRPr="00A867C5">
                <w:rPr>
                  <w:rFonts w:asciiTheme="majorBidi" w:hAnsiTheme="majorBidi" w:cstheme="majorBidi"/>
                  <w:noProof/>
                  <w:sz w:val="24"/>
                  <w:szCs w:val="24"/>
                  <w:lang w:val="en-US"/>
                </w:rPr>
                <w:t xml:space="preserve">Harvey, L. (2005). </w:t>
              </w:r>
              <w:r w:rsidRPr="00A867C5">
                <w:rPr>
                  <w:rFonts w:asciiTheme="majorBidi" w:hAnsiTheme="majorBidi" w:cstheme="majorBidi"/>
                  <w:i/>
                  <w:iCs/>
                  <w:noProof/>
                  <w:sz w:val="24"/>
                  <w:szCs w:val="24"/>
                  <w:lang w:val="en-US"/>
                </w:rPr>
                <w:t>A handbook for quality in higher education.</w:t>
              </w:r>
              <w:r w:rsidRPr="00A867C5">
                <w:rPr>
                  <w:rFonts w:asciiTheme="majorBidi" w:hAnsiTheme="majorBidi" w:cstheme="majorBidi"/>
                  <w:noProof/>
                  <w:sz w:val="24"/>
                  <w:szCs w:val="24"/>
                  <w:lang w:val="en-US"/>
                </w:rPr>
                <w:t xml:space="preserve"> Routledge Falmer.</w:t>
              </w:r>
            </w:p>
            <w:p w:rsidR="00A867C5" w:rsidRPr="00A867C5" w:rsidRDefault="00A867C5" w:rsidP="00A867C5">
              <w:pPr>
                <w:pStyle w:val="Bibliographie"/>
                <w:ind w:left="720" w:hanging="720"/>
                <w:jc w:val="both"/>
                <w:rPr>
                  <w:rFonts w:asciiTheme="majorBidi" w:hAnsiTheme="majorBidi" w:cstheme="majorBidi"/>
                  <w:noProof/>
                  <w:sz w:val="24"/>
                  <w:szCs w:val="24"/>
                  <w:lang w:val="en-US"/>
                </w:rPr>
              </w:pPr>
              <w:r w:rsidRPr="00A867C5">
                <w:rPr>
                  <w:rFonts w:asciiTheme="majorBidi" w:hAnsiTheme="majorBidi" w:cstheme="majorBidi"/>
                  <w:noProof/>
                  <w:sz w:val="24"/>
                  <w:szCs w:val="24"/>
                  <w:lang w:val="en-US"/>
                </w:rPr>
                <w:t xml:space="preserve">Harvey, L., &amp; Green, D. (1993). Defining quality. </w:t>
              </w:r>
              <w:r w:rsidRPr="00A867C5">
                <w:rPr>
                  <w:rFonts w:asciiTheme="majorBidi" w:hAnsiTheme="majorBidi" w:cstheme="majorBidi"/>
                  <w:i/>
                  <w:iCs/>
                  <w:noProof/>
                  <w:sz w:val="24"/>
                  <w:szCs w:val="24"/>
                  <w:lang w:val="en-US"/>
                </w:rPr>
                <w:t>Assessment &amp; Evaluation in Higher Education, 34</w:t>
              </w:r>
              <w:r w:rsidRPr="00A867C5">
                <w:rPr>
                  <w:rFonts w:asciiTheme="majorBidi" w:hAnsiTheme="majorBidi" w:cstheme="majorBidi"/>
                  <w:noProof/>
                  <w:sz w:val="24"/>
                  <w:szCs w:val="24"/>
                  <w:lang w:val="en-US"/>
                </w:rPr>
                <w:t>(9), 9-34.</w:t>
              </w:r>
            </w:p>
            <w:p w:rsidR="00A867C5" w:rsidRPr="00A867C5" w:rsidRDefault="00A867C5" w:rsidP="00A867C5">
              <w:pPr>
                <w:pStyle w:val="Bibliographie"/>
                <w:ind w:left="720" w:hanging="720"/>
                <w:jc w:val="both"/>
                <w:rPr>
                  <w:rFonts w:asciiTheme="majorBidi" w:hAnsiTheme="majorBidi" w:cstheme="majorBidi"/>
                  <w:noProof/>
                  <w:sz w:val="24"/>
                  <w:szCs w:val="24"/>
                  <w:lang w:val="en-US"/>
                </w:rPr>
              </w:pPr>
              <w:r w:rsidRPr="00A867C5">
                <w:rPr>
                  <w:rFonts w:asciiTheme="majorBidi" w:hAnsiTheme="majorBidi" w:cstheme="majorBidi"/>
                  <w:noProof/>
                  <w:sz w:val="24"/>
                  <w:szCs w:val="24"/>
                  <w:lang w:val="en-US"/>
                </w:rPr>
                <w:t xml:space="preserve">Hénard, F. (2010). </w:t>
              </w:r>
              <w:r w:rsidRPr="00A867C5">
                <w:rPr>
                  <w:rFonts w:asciiTheme="majorBidi" w:hAnsiTheme="majorBidi" w:cstheme="majorBidi"/>
                  <w:i/>
                  <w:iCs/>
                  <w:noProof/>
                  <w:sz w:val="24"/>
                  <w:szCs w:val="24"/>
                  <w:lang w:val="en-US"/>
                </w:rPr>
                <w:t>Learning and Teaching in Higher Education: A comparative overview of quality assurance frameworks.</w:t>
              </w:r>
              <w:r w:rsidRPr="00A867C5">
                <w:rPr>
                  <w:rFonts w:asciiTheme="majorBidi" w:hAnsiTheme="majorBidi" w:cstheme="majorBidi"/>
                  <w:noProof/>
                  <w:sz w:val="24"/>
                  <w:szCs w:val="24"/>
                  <w:lang w:val="en-US"/>
                </w:rPr>
                <w:t xml:space="preserve"> OECD Publishing.</w:t>
              </w:r>
            </w:p>
            <w:p w:rsidR="00A867C5" w:rsidRPr="00A867C5" w:rsidRDefault="00A867C5" w:rsidP="00A867C5">
              <w:pPr>
                <w:pStyle w:val="Bibliographie"/>
                <w:ind w:left="720" w:hanging="720"/>
                <w:jc w:val="both"/>
                <w:rPr>
                  <w:rFonts w:asciiTheme="majorBidi" w:hAnsiTheme="majorBidi" w:cstheme="majorBidi"/>
                  <w:noProof/>
                  <w:sz w:val="24"/>
                  <w:szCs w:val="24"/>
                  <w:lang w:val="en-US"/>
                </w:rPr>
              </w:pPr>
              <w:r w:rsidRPr="00A867C5">
                <w:rPr>
                  <w:rFonts w:asciiTheme="majorBidi" w:hAnsiTheme="majorBidi" w:cstheme="majorBidi"/>
                  <w:noProof/>
                  <w:sz w:val="24"/>
                  <w:szCs w:val="24"/>
                  <w:lang w:val="en-US"/>
                </w:rPr>
                <w:t xml:space="preserve">King, R., &amp; Ruiz-Gelices, E. (2003). International student mobility and the European model. </w:t>
              </w:r>
              <w:r w:rsidRPr="00A867C5">
                <w:rPr>
                  <w:rFonts w:asciiTheme="majorBidi" w:hAnsiTheme="majorBidi" w:cstheme="majorBidi"/>
                  <w:i/>
                  <w:iCs/>
                  <w:noProof/>
                  <w:sz w:val="24"/>
                  <w:szCs w:val="24"/>
                  <w:lang w:val="en-US"/>
                </w:rPr>
                <w:t>Journal of Higher Education in Europe</w:t>
              </w:r>
              <w:r w:rsidRPr="00A867C5">
                <w:rPr>
                  <w:rFonts w:asciiTheme="majorBidi" w:hAnsiTheme="majorBidi" w:cstheme="majorBidi"/>
                  <w:noProof/>
                  <w:sz w:val="24"/>
                  <w:szCs w:val="24"/>
                  <w:lang w:val="en-US"/>
                </w:rPr>
                <w:t>, 325-341.</w:t>
              </w:r>
            </w:p>
            <w:p w:rsidR="00A867C5" w:rsidRPr="00A867C5" w:rsidRDefault="00A867C5" w:rsidP="00A867C5">
              <w:pPr>
                <w:pStyle w:val="Bibliographie"/>
                <w:ind w:left="720" w:hanging="720"/>
                <w:jc w:val="both"/>
                <w:rPr>
                  <w:rFonts w:asciiTheme="majorBidi" w:hAnsiTheme="majorBidi" w:cstheme="majorBidi"/>
                  <w:noProof/>
                  <w:sz w:val="24"/>
                  <w:szCs w:val="24"/>
                  <w:lang w:val="en-US"/>
                </w:rPr>
              </w:pPr>
              <w:r w:rsidRPr="00A867C5">
                <w:rPr>
                  <w:rFonts w:asciiTheme="majorBidi" w:hAnsiTheme="majorBidi" w:cstheme="majorBidi"/>
                  <w:noProof/>
                  <w:sz w:val="24"/>
                  <w:szCs w:val="24"/>
                  <w:lang w:val="en-US"/>
                </w:rPr>
                <w:t xml:space="preserve">Maiworm, F., &amp; Teichler, U. (2007). The professional and academic relevance of student mobility. </w:t>
              </w:r>
              <w:r w:rsidRPr="00A867C5">
                <w:rPr>
                  <w:rFonts w:asciiTheme="majorBidi" w:hAnsiTheme="majorBidi" w:cstheme="majorBidi"/>
                  <w:i/>
                  <w:iCs/>
                  <w:noProof/>
                  <w:sz w:val="24"/>
                  <w:szCs w:val="24"/>
                  <w:lang w:val="en-US"/>
                </w:rPr>
                <w:t>European Journal of Education</w:t>
              </w:r>
              <w:r w:rsidRPr="00A867C5">
                <w:rPr>
                  <w:rFonts w:asciiTheme="majorBidi" w:hAnsiTheme="majorBidi" w:cstheme="majorBidi"/>
                  <w:noProof/>
                  <w:sz w:val="24"/>
                  <w:szCs w:val="24"/>
                  <w:lang w:val="en-US"/>
                </w:rPr>
                <w:t>, 21-36.</w:t>
              </w:r>
            </w:p>
            <w:p w:rsidR="00A867C5" w:rsidRPr="00A867C5" w:rsidRDefault="00A867C5" w:rsidP="00A867C5">
              <w:pPr>
                <w:pStyle w:val="Bibliographie"/>
                <w:ind w:left="720" w:hanging="720"/>
                <w:jc w:val="both"/>
                <w:rPr>
                  <w:rFonts w:asciiTheme="majorBidi" w:hAnsiTheme="majorBidi" w:cstheme="majorBidi"/>
                  <w:noProof/>
                  <w:sz w:val="24"/>
                  <w:szCs w:val="24"/>
                  <w:lang w:val="en-US"/>
                </w:rPr>
              </w:pPr>
              <w:r w:rsidRPr="00A867C5">
                <w:rPr>
                  <w:rFonts w:asciiTheme="majorBidi" w:hAnsiTheme="majorBidi" w:cstheme="majorBidi"/>
                  <w:noProof/>
                  <w:sz w:val="24"/>
                  <w:szCs w:val="24"/>
                  <w:lang w:val="en-US"/>
                </w:rPr>
                <w:t>statista. (2025). Récupéré sur https://www.statista.com/chart/21224/learners-impacted-by-national-school-closures/</w:t>
              </w:r>
            </w:p>
            <w:p w:rsidR="00A867C5" w:rsidRPr="00A867C5" w:rsidRDefault="00A867C5" w:rsidP="00A867C5">
              <w:pPr>
                <w:pStyle w:val="Bibliographie"/>
                <w:ind w:left="720" w:hanging="720"/>
                <w:jc w:val="both"/>
                <w:rPr>
                  <w:rFonts w:asciiTheme="majorBidi" w:hAnsiTheme="majorBidi" w:cstheme="majorBidi"/>
                  <w:noProof/>
                  <w:sz w:val="24"/>
                  <w:szCs w:val="24"/>
                  <w:lang w:val="en-US"/>
                </w:rPr>
              </w:pPr>
              <w:r w:rsidRPr="00A867C5">
                <w:rPr>
                  <w:rFonts w:asciiTheme="majorBidi" w:hAnsiTheme="majorBidi" w:cstheme="majorBidi"/>
                  <w:noProof/>
                  <w:sz w:val="24"/>
                  <w:szCs w:val="24"/>
                  <w:lang w:val="en-US"/>
                </w:rPr>
                <w:t xml:space="preserve">Teichler, U. (2011). Student mobility in the European Higher Education Area: Conceptual and practical challenges. </w:t>
              </w:r>
              <w:r w:rsidRPr="00A867C5">
                <w:rPr>
                  <w:rFonts w:asciiTheme="majorBidi" w:hAnsiTheme="majorBidi" w:cstheme="majorBidi"/>
                  <w:i/>
                  <w:iCs/>
                  <w:noProof/>
                  <w:sz w:val="24"/>
                  <w:szCs w:val="24"/>
                  <w:lang w:val="en-US"/>
                </w:rPr>
                <w:t>European Journal of Education, 46</w:t>
              </w:r>
              <w:r w:rsidRPr="00A867C5">
                <w:rPr>
                  <w:rFonts w:asciiTheme="majorBidi" w:hAnsiTheme="majorBidi" w:cstheme="majorBidi"/>
                  <w:noProof/>
                  <w:sz w:val="24"/>
                  <w:szCs w:val="24"/>
                  <w:lang w:val="en-US"/>
                </w:rPr>
                <w:t>(02), 220-234.</w:t>
              </w:r>
            </w:p>
            <w:p w:rsidR="00A867C5" w:rsidRPr="00A867C5" w:rsidRDefault="00A867C5" w:rsidP="00A867C5">
              <w:pPr>
                <w:pStyle w:val="Bibliographie"/>
                <w:ind w:left="720" w:hanging="720"/>
                <w:jc w:val="both"/>
                <w:rPr>
                  <w:rFonts w:asciiTheme="majorBidi" w:hAnsiTheme="majorBidi" w:cstheme="majorBidi"/>
                  <w:noProof/>
                  <w:sz w:val="24"/>
                  <w:szCs w:val="24"/>
                </w:rPr>
              </w:pPr>
              <w:r w:rsidRPr="00A867C5">
                <w:rPr>
                  <w:rFonts w:asciiTheme="majorBidi" w:hAnsiTheme="majorBidi" w:cstheme="majorBidi"/>
                  <w:noProof/>
                  <w:sz w:val="24"/>
                  <w:szCs w:val="24"/>
                  <w:lang w:val="en-US"/>
                </w:rPr>
                <w:t xml:space="preserve">Vroeijenstijn, A. I. (1995). Improvement and accountability: Navigating between Scylla and Charybdis. </w:t>
              </w:r>
              <w:r w:rsidRPr="00A867C5">
                <w:rPr>
                  <w:rFonts w:asciiTheme="majorBidi" w:hAnsiTheme="majorBidi" w:cstheme="majorBidi"/>
                  <w:i/>
                  <w:iCs/>
                  <w:noProof/>
                  <w:sz w:val="24"/>
                  <w:szCs w:val="24"/>
                </w:rPr>
                <w:t>Jessica Kingsley Publishers</w:t>
              </w:r>
              <w:r w:rsidRPr="00A867C5">
                <w:rPr>
                  <w:rFonts w:asciiTheme="majorBidi" w:hAnsiTheme="majorBidi" w:cstheme="majorBidi"/>
                  <w:noProof/>
                  <w:sz w:val="24"/>
                  <w:szCs w:val="24"/>
                </w:rPr>
                <w:t>.</w:t>
              </w:r>
            </w:p>
            <w:p w:rsidR="00850DE0" w:rsidRDefault="00A7025B" w:rsidP="00A867C5">
              <w:pPr>
                <w:jc w:val="both"/>
              </w:pPr>
              <w:r w:rsidRPr="00A867C5">
                <w:rPr>
                  <w:rFonts w:asciiTheme="majorBidi" w:hAnsiTheme="majorBidi" w:cstheme="majorBidi"/>
                  <w:b/>
                  <w:bCs/>
                  <w:noProof/>
                  <w:sz w:val="24"/>
                  <w:szCs w:val="24"/>
                </w:rPr>
                <w:fldChar w:fldCharType="end"/>
              </w:r>
            </w:p>
          </w:sdtContent>
        </w:sdt>
      </w:sdtContent>
    </w:sdt>
    <w:p w:rsidR="008E75CA" w:rsidRPr="00606BCE" w:rsidRDefault="008E75CA" w:rsidP="008E75CA">
      <w:pPr>
        <w:pStyle w:val="Paragraphedeliste"/>
        <w:spacing w:after="0" w:line="240" w:lineRule="auto"/>
        <w:ind w:left="0"/>
        <w:jc w:val="both"/>
        <w:rPr>
          <w:rFonts w:asciiTheme="majorBidi" w:hAnsiTheme="majorBidi" w:cstheme="majorBidi"/>
          <w:sz w:val="24"/>
          <w:szCs w:val="24"/>
          <w:lang w:val="en-US"/>
        </w:rPr>
      </w:pPr>
    </w:p>
    <w:p w:rsidR="00921217" w:rsidRPr="00D31B77" w:rsidRDefault="00921217" w:rsidP="000159B0">
      <w:pPr>
        <w:pStyle w:val="Paragraphedeliste"/>
        <w:spacing w:after="0" w:line="240" w:lineRule="auto"/>
        <w:ind w:left="0"/>
        <w:jc w:val="both"/>
        <w:rPr>
          <w:rFonts w:asciiTheme="majorBidi" w:hAnsiTheme="majorBidi" w:cstheme="majorBidi"/>
          <w:sz w:val="24"/>
          <w:szCs w:val="24"/>
          <w:lang w:val="en-US"/>
        </w:rPr>
      </w:pPr>
    </w:p>
    <w:sectPr w:rsidR="00921217" w:rsidRPr="00D31B77" w:rsidSect="00536A5A">
      <w:foot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481A" w:rsidRDefault="00C1481A">
      <w:pPr>
        <w:spacing w:after="0" w:line="240" w:lineRule="auto"/>
      </w:pPr>
      <w:r>
        <w:separator/>
      </w:r>
    </w:p>
  </w:endnote>
  <w:endnote w:type="continuationSeparator" w:id="1">
    <w:p w:rsidR="00C1481A" w:rsidRDefault="00C148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akkal Majalla">
    <w:panose1 w:val="02000000000000000000"/>
    <w:charset w:val="00"/>
    <w:family w:val="auto"/>
    <w:pitch w:val="variable"/>
    <w:sig w:usb0="A0002027" w:usb1="80000000" w:usb2="00000108" w:usb3="00000000" w:csb0="000000D3" w:csb1="00000000"/>
  </w:font>
  <w:font w:name="Simplified Arabic">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5F3" w:rsidRDefault="00CB15F3" w:rsidP="00536A5A">
    <w:pPr>
      <w:pStyle w:val="Pieddepage"/>
      <w:jc w:val="left"/>
    </w:pPr>
  </w:p>
  <w:p w:rsidR="00CB15F3" w:rsidRDefault="00CB15F3">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057447"/>
      <w:docPartObj>
        <w:docPartGallery w:val="Page Numbers (Bottom of Page)"/>
        <w:docPartUnique/>
      </w:docPartObj>
    </w:sdtPr>
    <w:sdtEndPr>
      <w:rPr>
        <w:noProof/>
      </w:rPr>
    </w:sdtEndPr>
    <w:sdtContent>
      <w:p w:rsidR="00CB15F3" w:rsidRDefault="00A7025B">
        <w:pPr>
          <w:pStyle w:val="Pieddepage"/>
          <w:jc w:val="center"/>
        </w:pPr>
        <w:r>
          <w:fldChar w:fldCharType="begin"/>
        </w:r>
        <w:r w:rsidR="00CB15F3">
          <w:instrText xml:space="preserve"> PAGE   \* MERGEFORMAT </w:instrText>
        </w:r>
        <w:r>
          <w:fldChar w:fldCharType="separate"/>
        </w:r>
        <w:r w:rsidR="00CB15F3">
          <w:rPr>
            <w:noProof/>
          </w:rPr>
          <w:t>2</w:t>
        </w:r>
        <w:r>
          <w:rPr>
            <w:noProof/>
          </w:rPr>
          <w:fldChar w:fldCharType="end"/>
        </w:r>
      </w:p>
    </w:sdtContent>
  </w:sdt>
  <w:p w:rsidR="00CB15F3" w:rsidRDefault="00CB15F3">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5F3" w:rsidRDefault="00A7025B">
    <w:pPr>
      <w:pStyle w:val="Pieddepage"/>
      <w:jc w:val="center"/>
    </w:pPr>
    <w:r>
      <w:fldChar w:fldCharType="begin"/>
    </w:r>
    <w:r w:rsidR="00CB15F3">
      <w:instrText xml:space="preserve"> PAGE   \* MERGEFORMAT </w:instrText>
    </w:r>
    <w:r>
      <w:fldChar w:fldCharType="separate"/>
    </w:r>
    <w:r w:rsidR="00E736EB">
      <w:rPr>
        <w:noProof/>
        <w:rtl/>
      </w:rPr>
      <w:t>12</w:t>
    </w:r>
    <w:r>
      <w:rPr>
        <w:noProof/>
      </w:rPr>
      <w:fldChar w:fldCharType="end"/>
    </w:r>
    <w:r>
      <w:rPr>
        <w:noProof/>
        <w:rtl/>
      </w:rPr>
    </w:r>
  </w:p>
  <w:p w:rsidR="00CB15F3" w:rsidRDefault="00CB15F3">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481A" w:rsidRDefault="00C1481A">
      <w:pPr>
        <w:spacing w:after="0" w:line="240" w:lineRule="auto"/>
      </w:pPr>
      <w:r>
        <w:separator/>
      </w:r>
    </w:p>
  </w:footnote>
  <w:footnote w:type="continuationSeparator" w:id="1">
    <w:p w:rsidR="00C1481A" w:rsidRDefault="00C148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22B30"/>
    <w:multiLevelType w:val="hybridMultilevel"/>
    <w:tmpl w:val="9F503B06"/>
    <w:lvl w:ilvl="0" w:tplc="756E701E">
      <w:start w:val="1"/>
      <w:numFmt w:val="upperLetter"/>
      <w:lvlText w:val="%1."/>
      <w:lvlJc w:val="left"/>
      <w:pPr>
        <w:ind w:left="426" w:hanging="360"/>
      </w:pPr>
      <w:rPr>
        <w:rFonts w:hint="default"/>
      </w:rPr>
    </w:lvl>
    <w:lvl w:ilvl="1" w:tplc="040C0019" w:tentative="1">
      <w:start w:val="1"/>
      <w:numFmt w:val="lowerLetter"/>
      <w:lvlText w:val="%2."/>
      <w:lvlJc w:val="left"/>
      <w:pPr>
        <w:ind w:left="1146" w:hanging="360"/>
      </w:pPr>
    </w:lvl>
    <w:lvl w:ilvl="2" w:tplc="040C001B" w:tentative="1">
      <w:start w:val="1"/>
      <w:numFmt w:val="lowerRoman"/>
      <w:lvlText w:val="%3."/>
      <w:lvlJc w:val="right"/>
      <w:pPr>
        <w:ind w:left="1866" w:hanging="180"/>
      </w:pPr>
    </w:lvl>
    <w:lvl w:ilvl="3" w:tplc="040C000F" w:tentative="1">
      <w:start w:val="1"/>
      <w:numFmt w:val="decimal"/>
      <w:lvlText w:val="%4."/>
      <w:lvlJc w:val="left"/>
      <w:pPr>
        <w:ind w:left="2586" w:hanging="360"/>
      </w:pPr>
    </w:lvl>
    <w:lvl w:ilvl="4" w:tplc="040C0019" w:tentative="1">
      <w:start w:val="1"/>
      <w:numFmt w:val="lowerLetter"/>
      <w:lvlText w:val="%5."/>
      <w:lvlJc w:val="left"/>
      <w:pPr>
        <w:ind w:left="3306" w:hanging="360"/>
      </w:pPr>
    </w:lvl>
    <w:lvl w:ilvl="5" w:tplc="040C001B" w:tentative="1">
      <w:start w:val="1"/>
      <w:numFmt w:val="lowerRoman"/>
      <w:lvlText w:val="%6."/>
      <w:lvlJc w:val="right"/>
      <w:pPr>
        <w:ind w:left="4026" w:hanging="180"/>
      </w:pPr>
    </w:lvl>
    <w:lvl w:ilvl="6" w:tplc="040C000F" w:tentative="1">
      <w:start w:val="1"/>
      <w:numFmt w:val="decimal"/>
      <w:lvlText w:val="%7."/>
      <w:lvlJc w:val="left"/>
      <w:pPr>
        <w:ind w:left="4746" w:hanging="360"/>
      </w:pPr>
    </w:lvl>
    <w:lvl w:ilvl="7" w:tplc="040C0019" w:tentative="1">
      <w:start w:val="1"/>
      <w:numFmt w:val="lowerLetter"/>
      <w:lvlText w:val="%8."/>
      <w:lvlJc w:val="left"/>
      <w:pPr>
        <w:ind w:left="5466" w:hanging="360"/>
      </w:pPr>
    </w:lvl>
    <w:lvl w:ilvl="8" w:tplc="040C001B" w:tentative="1">
      <w:start w:val="1"/>
      <w:numFmt w:val="lowerRoman"/>
      <w:lvlText w:val="%9."/>
      <w:lvlJc w:val="right"/>
      <w:pPr>
        <w:ind w:left="6186" w:hanging="180"/>
      </w:pPr>
    </w:lvl>
  </w:abstractNum>
  <w:abstractNum w:abstractNumId="1">
    <w:nsid w:val="171E1F08"/>
    <w:multiLevelType w:val="hybridMultilevel"/>
    <w:tmpl w:val="4FBC685E"/>
    <w:lvl w:ilvl="0" w:tplc="BE6A7EBC">
      <w:start w:val="1"/>
      <w:numFmt w:val="lowerLetter"/>
      <w:lvlText w:val="%1."/>
      <w:lvlJc w:val="left"/>
      <w:pPr>
        <w:ind w:left="42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2">
    <w:nsid w:val="2226566D"/>
    <w:multiLevelType w:val="hybridMultilevel"/>
    <w:tmpl w:val="1488E1D0"/>
    <w:lvl w:ilvl="0" w:tplc="04090005">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nsid w:val="3B2D6F08"/>
    <w:multiLevelType w:val="hybridMultilevel"/>
    <w:tmpl w:val="50FC46D6"/>
    <w:lvl w:ilvl="0" w:tplc="75D2743A">
      <w:start w:val="1"/>
      <w:numFmt w:val="upperLetter"/>
      <w:lvlText w:val="%1."/>
      <w:lvlJc w:val="left"/>
      <w:pPr>
        <w:ind w:left="1920"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
    <w:nsid w:val="3E186D27"/>
    <w:multiLevelType w:val="hybridMultilevel"/>
    <w:tmpl w:val="9CC26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2D5323D"/>
    <w:multiLevelType w:val="hybridMultilevel"/>
    <w:tmpl w:val="661A8814"/>
    <w:lvl w:ilvl="0" w:tplc="BEFA02F8">
      <w:start w:val="1"/>
      <w:numFmt w:val="upp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6">
    <w:nsid w:val="52461979"/>
    <w:multiLevelType w:val="hybridMultilevel"/>
    <w:tmpl w:val="3FDC6D58"/>
    <w:lvl w:ilvl="0" w:tplc="FD4C0892">
      <w:start w:val="1"/>
      <w:numFmt w:val="upperLetter"/>
      <w:lvlText w:val="%1."/>
      <w:lvlJc w:val="left"/>
      <w:pPr>
        <w:ind w:left="42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7">
    <w:nsid w:val="6EF879C5"/>
    <w:multiLevelType w:val="hybridMultilevel"/>
    <w:tmpl w:val="8AC298D4"/>
    <w:lvl w:ilvl="0" w:tplc="26726218">
      <w:start w:val="1"/>
      <w:numFmt w:val="upperLetter"/>
      <w:lvlText w:val="%1."/>
      <w:lvlJc w:val="left"/>
      <w:pPr>
        <w:ind w:left="714" w:hanging="43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8">
    <w:nsid w:val="7DA44D29"/>
    <w:multiLevelType w:val="multilevel"/>
    <w:tmpl w:val="B28E7F00"/>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8"/>
  </w:num>
  <w:num w:numId="2">
    <w:abstractNumId w:val="5"/>
  </w:num>
  <w:num w:numId="3">
    <w:abstractNumId w:val="0"/>
  </w:num>
  <w:num w:numId="4">
    <w:abstractNumId w:val="3"/>
  </w:num>
  <w:num w:numId="5">
    <w:abstractNumId w:val="7"/>
  </w:num>
  <w:num w:numId="6">
    <w:abstractNumId w:val="1"/>
  </w:num>
  <w:num w:numId="7">
    <w:abstractNumId w:val="6"/>
  </w:num>
  <w:num w:numId="8">
    <w:abstractNumId w:val="2"/>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C52BCE"/>
    <w:rsid w:val="00002A38"/>
    <w:rsid w:val="0000316C"/>
    <w:rsid w:val="00010B3A"/>
    <w:rsid w:val="000159B0"/>
    <w:rsid w:val="00032A86"/>
    <w:rsid w:val="00033AB9"/>
    <w:rsid w:val="00035027"/>
    <w:rsid w:val="00037640"/>
    <w:rsid w:val="00040E0B"/>
    <w:rsid w:val="00043DA5"/>
    <w:rsid w:val="00050E62"/>
    <w:rsid w:val="0005596E"/>
    <w:rsid w:val="0005676A"/>
    <w:rsid w:val="0008723B"/>
    <w:rsid w:val="00095D97"/>
    <w:rsid w:val="000B44D9"/>
    <w:rsid w:val="000B75C2"/>
    <w:rsid w:val="000D025B"/>
    <w:rsid w:val="000D7688"/>
    <w:rsid w:val="000D7AC0"/>
    <w:rsid w:val="000F018F"/>
    <w:rsid w:val="00100807"/>
    <w:rsid w:val="0010359D"/>
    <w:rsid w:val="001043D7"/>
    <w:rsid w:val="00105354"/>
    <w:rsid w:val="00111184"/>
    <w:rsid w:val="001150C4"/>
    <w:rsid w:val="00141252"/>
    <w:rsid w:val="001460EB"/>
    <w:rsid w:val="001525AC"/>
    <w:rsid w:val="001565D2"/>
    <w:rsid w:val="00156F9D"/>
    <w:rsid w:val="00157850"/>
    <w:rsid w:val="001579CA"/>
    <w:rsid w:val="00177C4C"/>
    <w:rsid w:val="0018795E"/>
    <w:rsid w:val="00190CC7"/>
    <w:rsid w:val="00192A37"/>
    <w:rsid w:val="00193DA1"/>
    <w:rsid w:val="001B251E"/>
    <w:rsid w:val="001D3C8E"/>
    <w:rsid w:val="001D6E94"/>
    <w:rsid w:val="002038D9"/>
    <w:rsid w:val="002176D6"/>
    <w:rsid w:val="002246A9"/>
    <w:rsid w:val="00226292"/>
    <w:rsid w:val="00231BDA"/>
    <w:rsid w:val="002378B2"/>
    <w:rsid w:val="0024588A"/>
    <w:rsid w:val="00246687"/>
    <w:rsid w:val="002469E7"/>
    <w:rsid w:val="00250204"/>
    <w:rsid w:val="002622F1"/>
    <w:rsid w:val="00264161"/>
    <w:rsid w:val="0026463E"/>
    <w:rsid w:val="002718F5"/>
    <w:rsid w:val="00274B35"/>
    <w:rsid w:val="0028021A"/>
    <w:rsid w:val="00280CAF"/>
    <w:rsid w:val="00284BE4"/>
    <w:rsid w:val="00291C09"/>
    <w:rsid w:val="002A3A04"/>
    <w:rsid w:val="002B1166"/>
    <w:rsid w:val="002B7F45"/>
    <w:rsid w:val="002D26C1"/>
    <w:rsid w:val="002D40C6"/>
    <w:rsid w:val="002D7A7F"/>
    <w:rsid w:val="002E48C2"/>
    <w:rsid w:val="00314AD9"/>
    <w:rsid w:val="00315351"/>
    <w:rsid w:val="00321434"/>
    <w:rsid w:val="003235EA"/>
    <w:rsid w:val="003242D7"/>
    <w:rsid w:val="0032543C"/>
    <w:rsid w:val="00336255"/>
    <w:rsid w:val="00342F89"/>
    <w:rsid w:val="00370418"/>
    <w:rsid w:val="0037042E"/>
    <w:rsid w:val="003814ED"/>
    <w:rsid w:val="00382728"/>
    <w:rsid w:val="0038589E"/>
    <w:rsid w:val="003A2937"/>
    <w:rsid w:val="003A2B11"/>
    <w:rsid w:val="003A7DAE"/>
    <w:rsid w:val="003B15C6"/>
    <w:rsid w:val="003C3FF4"/>
    <w:rsid w:val="003C53D6"/>
    <w:rsid w:val="003D6F0C"/>
    <w:rsid w:val="003F331F"/>
    <w:rsid w:val="003F6C61"/>
    <w:rsid w:val="003F75ED"/>
    <w:rsid w:val="00420422"/>
    <w:rsid w:val="00422990"/>
    <w:rsid w:val="00435641"/>
    <w:rsid w:val="00435CCB"/>
    <w:rsid w:val="004431C6"/>
    <w:rsid w:val="004534A7"/>
    <w:rsid w:val="00461B9E"/>
    <w:rsid w:val="00467BCF"/>
    <w:rsid w:val="004729FD"/>
    <w:rsid w:val="00476530"/>
    <w:rsid w:val="0048383D"/>
    <w:rsid w:val="00487258"/>
    <w:rsid w:val="00492EB7"/>
    <w:rsid w:val="004B1DA4"/>
    <w:rsid w:val="004B3404"/>
    <w:rsid w:val="004B5B89"/>
    <w:rsid w:val="004F016A"/>
    <w:rsid w:val="004F1339"/>
    <w:rsid w:val="004F2835"/>
    <w:rsid w:val="00512667"/>
    <w:rsid w:val="0051622A"/>
    <w:rsid w:val="0052127F"/>
    <w:rsid w:val="00522F18"/>
    <w:rsid w:val="00536A5A"/>
    <w:rsid w:val="005409DA"/>
    <w:rsid w:val="00564CE6"/>
    <w:rsid w:val="00566A99"/>
    <w:rsid w:val="00566AA0"/>
    <w:rsid w:val="00567645"/>
    <w:rsid w:val="005709F7"/>
    <w:rsid w:val="00577A19"/>
    <w:rsid w:val="00582464"/>
    <w:rsid w:val="00593E05"/>
    <w:rsid w:val="005A73FA"/>
    <w:rsid w:val="005B2365"/>
    <w:rsid w:val="005B7B14"/>
    <w:rsid w:val="005C3B8A"/>
    <w:rsid w:val="005C5A1B"/>
    <w:rsid w:val="005E595F"/>
    <w:rsid w:val="005E639D"/>
    <w:rsid w:val="00606BCE"/>
    <w:rsid w:val="00610219"/>
    <w:rsid w:val="00623B74"/>
    <w:rsid w:val="00624DFB"/>
    <w:rsid w:val="00651CD6"/>
    <w:rsid w:val="00662FDD"/>
    <w:rsid w:val="006640A4"/>
    <w:rsid w:val="006657E8"/>
    <w:rsid w:val="00681799"/>
    <w:rsid w:val="006904CE"/>
    <w:rsid w:val="006A4B0F"/>
    <w:rsid w:val="006A5EBE"/>
    <w:rsid w:val="006B0E84"/>
    <w:rsid w:val="006B100A"/>
    <w:rsid w:val="006C1D54"/>
    <w:rsid w:val="006C51D9"/>
    <w:rsid w:val="006C56AF"/>
    <w:rsid w:val="006D4821"/>
    <w:rsid w:val="006F3583"/>
    <w:rsid w:val="006F6367"/>
    <w:rsid w:val="006F788F"/>
    <w:rsid w:val="0070053E"/>
    <w:rsid w:val="00704642"/>
    <w:rsid w:val="0070535C"/>
    <w:rsid w:val="0070671D"/>
    <w:rsid w:val="0072375D"/>
    <w:rsid w:val="007260A5"/>
    <w:rsid w:val="007713F5"/>
    <w:rsid w:val="00774915"/>
    <w:rsid w:val="00777D2B"/>
    <w:rsid w:val="00781D44"/>
    <w:rsid w:val="00786D31"/>
    <w:rsid w:val="0079381B"/>
    <w:rsid w:val="0079447A"/>
    <w:rsid w:val="0079676A"/>
    <w:rsid w:val="007A0213"/>
    <w:rsid w:val="007A7FFC"/>
    <w:rsid w:val="007B4D70"/>
    <w:rsid w:val="007C29F6"/>
    <w:rsid w:val="007C57EE"/>
    <w:rsid w:val="007D5123"/>
    <w:rsid w:val="007D69AD"/>
    <w:rsid w:val="007D7AC5"/>
    <w:rsid w:val="007E0391"/>
    <w:rsid w:val="007E2FED"/>
    <w:rsid w:val="007E30E3"/>
    <w:rsid w:val="007F3D23"/>
    <w:rsid w:val="0080064E"/>
    <w:rsid w:val="00821220"/>
    <w:rsid w:val="00824C72"/>
    <w:rsid w:val="0082782C"/>
    <w:rsid w:val="00830F80"/>
    <w:rsid w:val="008322FF"/>
    <w:rsid w:val="008408FF"/>
    <w:rsid w:val="008450A1"/>
    <w:rsid w:val="00850DE0"/>
    <w:rsid w:val="0086518B"/>
    <w:rsid w:val="00867266"/>
    <w:rsid w:val="008678E1"/>
    <w:rsid w:val="00874F67"/>
    <w:rsid w:val="00884C3B"/>
    <w:rsid w:val="00890AE5"/>
    <w:rsid w:val="008A7584"/>
    <w:rsid w:val="008B3843"/>
    <w:rsid w:val="008B5B82"/>
    <w:rsid w:val="008C27D4"/>
    <w:rsid w:val="008C2CC5"/>
    <w:rsid w:val="008C4979"/>
    <w:rsid w:val="008C7592"/>
    <w:rsid w:val="008E75CA"/>
    <w:rsid w:val="008E7814"/>
    <w:rsid w:val="008F4BBF"/>
    <w:rsid w:val="00906FD7"/>
    <w:rsid w:val="009123A1"/>
    <w:rsid w:val="00921217"/>
    <w:rsid w:val="00921F85"/>
    <w:rsid w:val="0092249F"/>
    <w:rsid w:val="009263C2"/>
    <w:rsid w:val="00930B49"/>
    <w:rsid w:val="00937052"/>
    <w:rsid w:val="00941116"/>
    <w:rsid w:val="00941AB7"/>
    <w:rsid w:val="009504D9"/>
    <w:rsid w:val="00954354"/>
    <w:rsid w:val="0095574A"/>
    <w:rsid w:val="00961AEF"/>
    <w:rsid w:val="009712AB"/>
    <w:rsid w:val="009827E0"/>
    <w:rsid w:val="00993C27"/>
    <w:rsid w:val="009946A6"/>
    <w:rsid w:val="009A6B5F"/>
    <w:rsid w:val="009B049B"/>
    <w:rsid w:val="009B1066"/>
    <w:rsid w:val="009B422A"/>
    <w:rsid w:val="009B684D"/>
    <w:rsid w:val="009C0797"/>
    <w:rsid w:val="009D56B3"/>
    <w:rsid w:val="009E4E52"/>
    <w:rsid w:val="009F2552"/>
    <w:rsid w:val="00A06692"/>
    <w:rsid w:val="00A30500"/>
    <w:rsid w:val="00A50938"/>
    <w:rsid w:val="00A527D3"/>
    <w:rsid w:val="00A55D5B"/>
    <w:rsid w:val="00A64441"/>
    <w:rsid w:val="00A655A9"/>
    <w:rsid w:val="00A67622"/>
    <w:rsid w:val="00A7025B"/>
    <w:rsid w:val="00A76698"/>
    <w:rsid w:val="00A7728C"/>
    <w:rsid w:val="00A867C5"/>
    <w:rsid w:val="00A95FC8"/>
    <w:rsid w:val="00AD08D7"/>
    <w:rsid w:val="00AF3646"/>
    <w:rsid w:val="00B04481"/>
    <w:rsid w:val="00B1028B"/>
    <w:rsid w:val="00B30122"/>
    <w:rsid w:val="00B3285E"/>
    <w:rsid w:val="00B344D0"/>
    <w:rsid w:val="00B34C40"/>
    <w:rsid w:val="00B34D3C"/>
    <w:rsid w:val="00B720D5"/>
    <w:rsid w:val="00B758BD"/>
    <w:rsid w:val="00B7755E"/>
    <w:rsid w:val="00B86E92"/>
    <w:rsid w:val="00B90D30"/>
    <w:rsid w:val="00B93099"/>
    <w:rsid w:val="00BC2F65"/>
    <w:rsid w:val="00BC333C"/>
    <w:rsid w:val="00BC4848"/>
    <w:rsid w:val="00BC4EF6"/>
    <w:rsid w:val="00BC4F8D"/>
    <w:rsid w:val="00BD2D22"/>
    <w:rsid w:val="00BD578D"/>
    <w:rsid w:val="00BE785C"/>
    <w:rsid w:val="00C03BC4"/>
    <w:rsid w:val="00C06AED"/>
    <w:rsid w:val="00C1481A"/>
    <w:rsid w:val="00C2436D"/>
    <w:rsid w:val="00C3066E"/>
    <w:rsid w:val="00C326BF"/>
    <w:rsid w:val="00C40D87"/>
    <w:rsid w:val="00C52BCE"/>
    <w:rsid w:val="00C52F4B"/>
    <w:rsid w:val="00C71790"/>
    <w:rsid w:val="00C72D2C"/>
    <w:rsid w:val="00C73C9A"/>
    <w:rsid w:val="00C81FF5"/>
    <w:rsid w:val="00C83DD4"/>
    <w:rsid w:val="00C87568"/>
    <w:rsid w:val="00CA131A"/>
    <w:rsid w:val="00CA471D"/>
    <w:rsid w:val="00CA5127"/>
    <w:rsid w:val="00CA65E6"/>
    <w:rsid w:val="00CB15F3"/>
    <w:rsid w:val="00CB359E"/>
    <w:rsid w:val="00CB5383"/>
    <w:rsid w:val="00CC0B9F"/>
    <w:rsid w:val="00CC0D44"/>
    <w:rsid w:val="00CD27A0"/>
    <w:rsid w:val="00CE0696"/>
    <w:rsid w:val="00CE126E"/>
    <w:rsid w:val="00CE4FC7"/>
    <w:rsid w:val="00CE7AFB"/>
    <w:rsid w:val="00CE7C51"/>
    <w:rsid w:val="00D055E2"/>
    <w:rsid w:val="00D17885"/>
    <w:rsid w:val="00D224FE"/>
    <w:rsid w:val="00D263FA"/>
    <w:rsid w:val="00D31B77"/>
    <w:rsid w:val="00D40189"/>
    <w:rsid w:val="00D43C4F"/>
    <w:rsid w:val="00D567F3"/>
    <w:rsid w:val="00D63100"/>
    <w:rsid w:val="00D63F0E"/>
    <w:rsid w:val="00D709CE"/>
    <w:rsid w:val="00D73C87"/>
    <w:rsid w:val="00D76263"/>
    <w:rsid w:val="00D83309"/>
    <w:rsid w:val="00DB1738"/>
    <w:rsid w:val="00DC3D5A"/>
    <w:rsid w:val="00DC653D"/>
    <w:rsid w:val="00DC6BCC"/>
    <w:rsid w:val="00E02E82"/>
    <w:rsid w:val="00E04E62"/>
    <w:rsid w:val="00E23F38"/>
    <w:rsid w:val="00E31EB9"/>
    <w:rsid w:val="00E369D0"/>
    <w:rsid w:val="00E36EFB"/>
    <w:rsid w:val="00E4131A"/>
    <w:rsid w:val="00E44085"/>
    <w:rsid w:val="00E52B9C"/>
    <w:rsid w:val="00E53CBA"/>
    <w:rsid w:val="00E736EB"/>
    <w:rsid w:val="00E74074"/>
    <w:rsid w:val="00E86BCA"/>
    <w:rsid w:val="00E94AB8"/>
    <w:rsid w:val="00E95DA1"/>
    <w:rsid w:val="00EA3D92"/>
    <w:rsid w:val="00EB37AF"/>
    <w:rsid w:val="00EC37E9"/>
    <w:rsid w:val="00EC555B"/>
    <w:rsid w:val="00ED3120"/>
    <w:rsid w:val="00ED3F18"/>
    <w:rsid w:val="00EE4E9A"/>
    <w:rsid w:val="00EE50F7"/>
    <w:rsid w:val="00EE7837"/>
    <w:rsid w:val="00EF07A2"/>
    <w:rsid w:val="00F003C9"/>
    <w:rsid w:val="00F00D9B"/>
    <w:rsid w:val="00F01635"/>
    <w:rsid w:val="00F01A4D"/>
    <w:rsid w:val="00F14514"/>
    <w:rsid w:val="00F31707"/>
    <w:rsid w:val="00F43EEC"/>
    <w:rsid w:val="00F45D1C"/>
    <w:rsid w:val="00F52321"/>
    <w:rsid w:val="00F545FD"/>
    <w:rsid w:val="00F577D5"/>
    <w:rsid w:val="00F61896"/>
    <w:rsid w:val="00F74F04"/>
    <w:rsid w:val="00F8126B"/>
    <w:rsid w:val="00F812DC"/>
    <w:rsid w:val="00F81773"/>
    <w:rsid w:val="00F83DBC"/>
    <w:rsid w:val="00F93AB6"/>
    <w:rsid w:val="00F94AB0"/>
    <w:rsid w:val="00FB4820"/>
    <w:rsid w:val="00FC2D57"/>
    <w:rsid w:val="00FC65CD"/>
    <w:rsid w:val="00FE0D9E"/>
    <w:rsid w:val="00FE2615"/>
    <w:rsid w:val="00FE74AF"/>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25B"/>
  </w:style>
  <w:style w:type="paragraph" w:styleId="Titre1">
    <w:name w:val="heading 1"/>
    <w:basedOn w:val="Normal"/>
    <w:next w:val="Normal"/>
    <w:link w:val="Titre1Car"/>
    <w:uiPriority w:val="9"/>
    <w:qFormat/>
    <w:rsid w:val="00850DE0"/>
    <w:pPr>
      <w:keepNext/>
      <w:keepLines/>
      <w:spacing w:before="240" w:after="0"/>
      <w:outlineLvl w:val="0"/>
    </w:pPr>
    <w:rPr>
      <w:rFonts w:asciiTheme="majorHAnsi" w:eastAsiaTheme="majorEastAsia" w:hAnsiTheme="majorHAnsi" w:cstheme="majorBidi"/>
      <w:color w:val="2E74B5" w:themeColor="accent1" w:themeShade="BF"/>
      <w:sz w:val="32"/>
      <w:szCs w:val="32"/>
      <w:lang w:val="en-US"/>
    </w:rPr>
  </w:style>
  <w:style w:type="paragraph" w:styleId="Titre9">
    <w:name w:val="heading 9"/>
    <w:aliases w:val="رقم الفصل"/>
    <w:basedOn w:val="Normal"/>
    <w:next w:val="Normal"/>
    <w:link w:val="Titre9Car"/>
    <w:uiPriority w:val="9"/>
    <w:unhideWhenUsed/>
    <w:qFormat/>
    <w:rsid w:val="00651CD6"/>
    <w:pPr>
      <w:bidi/>
      <w:spacing w:after="0" w:line="240" w:lineRule="auto"/>
      <w:jc w:val="right"/>
      <w:outlineLvl w:val="8"/>
    </w:pPr>
    <w:rPr>
      <w:rFonts w:asciiTheme="majorBidi" w:eastAsia="Times New Roman" w:hAnsiTheme="majorBidi" w:cstheme="majorBidi"/>
      <w:b/>
      <w:bCs/>
      <w:iCs/>
      <w:sz w:val="24"/>
      <w:szCs w:val="24"/>
      <w:lang w:eastAsia="fr-FR" w:bidi="ar-DZ"/>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3DA1"/>
    <w:pPr>
      <w:ind w:left="720"/>
      <w:contextualSpacing/>
    </w:pPr>
  </w:style>
  <w:style w:type="paragraph" w:styleId="NormalWeb">
    <w:name w:val="Normal (Web)"/>
    <w:basedOn w:val="Normal"/>
    <w:uiPriority w:val="99"/>
    <w:unhideWhenUsed/>
    <w:rsid w:val="00284BE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C06AED"/>
    <w:rPr>
      <w:color w:val="0563C1" w:themeColor="hyperlink"/>
      <w:u w:val="single"/>
    </w:rPr>
  </w:style>
  <w:style w:type="character" w:customStyle="1" w:styleId="Titre9Car">
    <w:name w:val="Titre 9 Car"/>
    <w:aliases w:val="رقم الفصل Car"/>
    <w:basedOn w:val="Policepardfaut"/>
    <w:link w:val="Titre9"/>
    <w:uiPriority w:val="9"/>
    <w:rsid w:val="00651CD6"/>
    <w:rPr>
      <w:rFonts w:asciiTheme="majorBidi" w:eastAsia="Times New Roman" w:hAnsiTheme="majorBidi" w:cstheme="majorBidi"/>
      <w:b/>
      <w:bCs/>
      <w:iCs/>
      <w:sz w:val="24"/>
      <w:szCs w:val="24"/>
      <w:lang w:eastAsia="fr-FR" w:bidi="ar-DZ"/>
    </w:rPr>
  </w:style>
  <w:style w:type="character" w:styleId="Rfrenceintense">
    <w:name w:val="Intense Reference"/>
    <w:aliases w:val="مرجع"/>
    <w:uiPriority w:val="32"/>
    <w:qFormat/>
    <w:rsid w:val="00651CD6"/>
    <w:rPr>
      <w:rFonts w:ascii="Times New Roman" w:eastAsia="Times New Roman" w:hAnsi="Times New Roman" w:cs="Sakkal Majalla"/>
      <w:noProof/>
      <w:color w:val="0000FF"/>
      <w:sz w:val="24"/>
      <w:szCs w:val="30"/>
      <w:lang w:val="fr-FR"/>
    </w:rPr>
  </w:style>
  <w:style w:type="paragraph" w:customStyle="1" w:styleId="a">
    <w:name w:val="النص"/>
    <w:basedOn w:val="Normal"/>
    <w:link w:val="Car"/>
    <w:qFormat/>
    <w:rsid w:val="00E94AB8"/>
    <w:pPr>
      <w:spacing w:after="180" w:line="240" w:lineRule="auto"/>
      <w:ind w:firstLine="284"/>
      <w:jc w:val="both"/>
    </w:pPr>
    <w:rPr>
      <w:rFonts w:asciiTheme="majorBidi" w:eastAsia="Times New Roman" w:hAnsiTheme="majorBidi" w:cstheme="majorBidi"/>
      <w:sz w:val="24"/>
      <w:szCs w:val="28"/>
      <w:lang w:eastAsia="fr-FR" w:bidi="ar-DZ"/>
    </w:rPr>
  </w:style>
  <w:style w:type="character" w:customStyle="1" w:styleId="Car">
    <w:name w:val="النص Car"/>
    <w:basedOn w:val="Policepardfaut"/>
    <w:link w:val="a"/>
    <w:rsid w:val="00E94AB8"/>
    <w:rPr>
      <w:rFonts w:asciiTheme="majorBidi" w:eastAsia="Times New Roman" w:hAnsiTheme="majorBidi" w:cstheme="majorBidi"/>
      <w:sz w:val="24"/>
      <w:szCs w:val="28"/>
      <w:lang w:eastAsia="fr-FR" w:bidi="ar-DZ"/>
    </w:rPr>
  </w:style>
  <w:style w:type="paragraph" w:styleId="Pieddepage">
    <w:name w:val="footer"/>
    <w:basedOn w:val="Normal"/>
    <w:link w:val="PieddepageCar"/>
    <w:uiPriority w:val="99"/>
    <w:unhideWhenUsed/>
    <w:rsid w:val="00651CD6"/>
    <w:pPr>
      <w:tabs>
        <w:tab w:val="center" w:pos="4513"/>
        <w:tab w:val="right" w:pos="9026"/>
      </w:tabs>
      <w:bidi/>
      <w:spacing w:after="0" w:line="240" w:lineRule="auto"/>
      <w:jc w:val="right"/>
    </w:pPr>
    <w:rPr>
      <w:rFonts w:asciiTheme="majorBidi" w:hAnsiTheme="majorBidi" w:cs="Simplified Arabic"/>
      <w:sz w:val="24"/>
      <w:szCs w:val="28"/>
      <w:lang w:val="en-US"/>
    </w:rPr>
  </w:style>
  <w:style w:type="character" w:customStyle="1" w:styleId="PieddepageCar">
    <w:name w:val="Pied de page Car"/>
    <w:basedOn w:val="Policepardfaut"/>
    <w:link w:val="Pieddepage"/>
    <w:uiPriority w:val="99"/>
    <w:rsid w:val="00651CD6"/>
    <w:rPr>
      <w:rFonts w:asciiTheme="majorBidi" w:hAnsiTheme="majorBidi" w:cs="Simplified Arabic"/>
      <w:sz w:val="24"/>
      <w:szCs w:val="28"/>
      <w:lang w:val="en-US"/>
    </w:rPr>
  </w:style>
  <w:style w:type="character" w:customStyle="1" w:styleId="selected">
    <w:name w:val="selected"/>
    <w:basedOn w:val="Policepardfaut"/>
    <w:rsid w:val="00A30500"/>
  </w:style>
  <w:style w:type="paragraph" w:styleId="En-tte">
    <w:name w:val="header"/>
    <w:basedOn w:val="Normal"/>
    <w:link w:val="En-tteCar"/>
    <w:uiPriority w:val="99"/>
    <w:unhideWhenUsed/>
    <w:rsid w:val="002469E7"/>
    <w:pPr>
      <w:tabs>
        <w:tab w:val="center" w:pos="4680"/>
        <w:tab w:val="right" w:pos="9360"/>
      </w:tabs>
      <w:spacing w:after="0" w:line="240" w:lineRule="auto"/>
    </w:pPr>
  </w:style>
  <w:style w:type="character" w:customStyle="1" w:styleId="En-tteCar">
    <w:name w:val="En-tête Car"/>
    <w:basedOn w:val="Policepardfaut"/>
    <w:link w:val="En-tte"/>
    <w:uiPriority w:val="99"/>
    <w:rsid w:val="002469E7"/>
  </w:style>
  <w:style w:type="character" w:customStyle="1" w:styleId="UnresolvedMention1">
    <w:name w:val="Unresolved Mention1"/>
    <w:basedOn w:val="Policepardfaut"/>
    <w:uiPriority w:val="99"/>
    <w:semiHidden/>
    <w:unhideWhenUsed/>
    <w:rsid w:val="00B90D30"/>
    <w:rPr>
      <w:color w:val="605E5C"/>
      <w:shd w:val="clear" w:color="auto" w:fill="E1DFDD"/>
    </w:rPr>
  </w:style>
  <w:style w:type="character" w:styleId="Lienhypertextesuivivisit">
    <w:name w:val="FollowedHyperlink"/>
    <w:basedOn w:val="Policepardfaut"/>
    <w:uiPriority w:val="99"/>
    <w:semiHidden/>
    <w:unhideWhenUsed/>
    <w:rsid w:val="008E75CA"/>
    <w:rPr>
      <w:color w:val="954F72" w:themeColor="followedHyperlink"/>
      <w:u w:val="single"/>
    </w:rPr>
  </w:style>
  <w:style w:type="character" w:customStyle="1" w:styleId="Titre1Car">
    <w:name w:val="Titre 1 Car"/>
    <w:basedOn w:val="Policepardfaut"/>
    <w:link w:val="Titre1"/>
    <w:uiPriority w:val="9"/>
    <w:rsid w:val="00850DE0"/>
    <w:rPr>
      <w:rFonts w:asciiTheme="majorHAnsi" w:eastAsiaTheme="majorEastAsia" w:hAnsiTheme="majorHAnsi" w:cstheme="majorBidi"/>
      <w:color w:val="2E74B5" w:themeColor="accent1" w:themeShade="BF"/>
      <w:sz w:val="32"/>
      <w:szCs w:val="32"/>
      <w:lang w:val="en-US"/>
    </w:rPr>
  </w:style>
  <w:style w:type="paragraph" w:styleId="Bibliographie">
    <w:name w:val="Bibliography"/>
    <w:basedOn w:val="Normal"/>
    <w:next w:val="Normal"/>
    <w:uiPriority w:val="37"/>
    <w:unhideWhenUsed/>
    <w:rsid w:val="00850DE0"/>
  </w:style>
</w:styles>
</file>

<file path=word/webSettings.xml><?xml version="1.0" encoding="utf-8"?>
<w:webSettings xmlns:r="http://schemas.openxmlformats.org/officeDocument/2006/relationships" xmlns:w="http://schemas.openxmlformats.org/wordprocessingml/2006/main">
  <w:divs>
    <w:div w:id="1713417">
      <w:bodyDiv w:val="1"/>
      <w:marLeft w:val="0"/>
      <w:marRight w:val="0"/>
      <w:marTop w:val="0"/>
      <w:marBottom w:val="0"/>
      <w:divBdr>
        <w:top w:val="none" w:sz="0" w:space="0" w:color="auto"/>
        <w:left w:val="none" w:sz="0" w:space="0" w:color="auto"/>
        <w:bottom w:val="none" w:sz="0" w:space="0" w:color="auto"/>
        <w:right w:val="none" w:sz="0" w:space="0" w:color="auto"/>
      </w:divBdr>
    </w:div>
    <w:div w:id="30152907">
      <w:bodyDiv w:val="1"/>
      <w:marLeft w:val="0"/>
      <w:marRight w:val="0"/>
      <w:marTop w:val="0"/>
      <w:marBottom w:val="0"/>
      <w:divBdr>
        <w:top w:val="none" w:sz="0" w:space="0" w:color="auto"/>
        <w:left w:val="none" w:sz="0" w:space="0" w:color="auto"/>
        <w:bottom w:val="none" w:sz="0" w:space="0" w:color="auto"/>
        <w:right w:val="none" w:sz="0" w:space="0" w:color="auto"/>
      </w:divBdr>
    </w:div>
    <w:div w:id="38019381">
      <w:bodyDiv w:val="1"/>
      <w:marLeft w:val="0"/>
      <w:marRight w:val="0"/>
      <w:marTop w:val="0"/>
      <w:marBottom w:val="0"/>
      <w:divBdr>
        <w:top w:val="none" w:sz="0" w:space="0" w:color="auto"/>
        <w:left w:val="none" w:sz="0" w:space="0" w:color="auto"/>
        <w:bottom w:val="none" w:sz="0" w:space="0" w:color="auto"/>
        <w:right w:val="none" w:sz="0" w:space="0" w:color="auto"/>
      </w:divBdr>
    </w:div>
    <w:div w:id="72513083">
      <w:bodyDiv w:val="1"/>
      <w:marLeft w:val="0"/>
      <w:marRight w:val="0"/>
      <w:marTop w:val="0"/>
      <w:marBottom w:val="0"/>
      <w:divBdr>
        <w:top w:val="none" w:sz="0" w:space="0" w:color="auto"/>
        <w:left w:val="none" w:sz="0" w:space="0" w:color="auto"/>
        <w:bottom w:val="none" w:sz="0" w:space="0" w:color="auto"/>
        <w:right w:val="none" w:sz="0" w:space="0" w:color="auto"/>
      </w:divBdr>
    </w:div>
    <w:div w:id="89857021">
      <w:bodyDiv w:val="1"/>
      <w:marLeft w:val="0"/>
      <w:marRight w:val="0"/>
      <w:marTop w:val="0"/>
      <w:marBottom w:val="0"/>
      <w:divBdr>
        <w:top w:val="none" w:sz="0" w:space="0" w:color="auto"/>
        <w:left w:val="none" w:sz="0" w:space="0" w:color="auto"/>
        <w:bottom w:val="none" w:sz="0" w:space="0" w:color="auto"/>
        <w:right w:val="none" w:sz="0" w:space="0" w:color="auto"/>
      </w:divBdr>
    </w:div>
    <w:div w:id="242372977">
      <w:bodyDiv w:val="1"/>
      <w:marLeft w:val="0"/>
      <w:marRight w:val="0"/>
      <w:marTop w:val="0"/>
      <w:marBottom w:val="0"/>
      <w:divBdr>
        <w:top w:val="none" w:sz="0" w:space="0" w:color="auto"/>
        <w:left w:val="none" w:sz="0" w:space="0" w:color="auto"/>
        <w:bottom w:val="none" w:sz="0" w:space="0" w:color="auto"/>
        <w:right w:val="none" w:sz="0" w:space="0" w:color="auto"/>
      </w:divBdr>
    </w:div>
    <w:div w:id="256712960">
      <w:bodyDiv w:val="1"/>
      <w:marLeft w:val="0"/>
      <w:marRight w:val="0"/>
      <w:marTop w:val="0"/>
      <w:marBottom w:val="0"/>
      <w:divBdr>
        <w:top w:val="none" w:sz="0" w:space="0" w:color="auto"/>
        <w:left w:val="none" w:sz="0" w:space="0" w:color="auto"/>
        <w:bottom w:val="none" w:sz="0" w:space="0" w:color="auto"/>
        <w:right w:val="none" w:sz="0" w:space="0" w:color="auto"/>
      </w:divBdr>
    </w:div>
    <w:div w:id="363753767">
      <w:bodyDiv w:val="1"/>
      <w:marLeft w:val="0"/>
      <w:marRight w:val="0"/>
      <w:marTop w:val="0"/>
      <w:marBottom w:val="0"/>
      <w:divBdr>
        <w:top w:val="none" w:sz="0" w:space="0" w:color="auto"/>
        <w:left w:val="none" w:sz="0" w:space="0" w:color="auto"/>
        <w:bottom w:val="none" w:sz="0" w:space="0" w:color="auto"/>
        <w:right w:val="none" w:sz="0" w:space="0" w:color="auto"/>
      </w:divBdr>
    </w:div>
    <w:div w:id="426120737">
      <w:bodyDiv w:val="1"/>
      <w:marLeft w:val="0"/>
      <w:marRight w:val="0"/>
      <w:marTop w:val="0"/>
      <w:marBottom w:val="0"/>
      <w:divBdr>
        <w:top w:val="none" w:sz="0" w:space="0" w:color="auto"/>
        <w:left w:val="none" w:sz="0" w:space="0" w:color="auto"/>
        <w:bottom w:val="none" w:sz="0" w:space="0" w:color="auto"/>
        <w:right w:val="none" w:sz="0" w:space="0" w:color="auto"/>
      </w:divBdr>
    </w:div>
    <w:div w:id="460536121">
      <w:bodyDiv w:val="1"/>
      <w:marLeft w:val="0"/>
      <w:marRight w:val="0"/>
      <w:marTop w:val="0"/>
      <w:marBottom w:val="0"/>
      <w:divBdr>
        <w:top w:val="none" w:sz="0" w:space="0" w:color="auto"/>
        <w:left w:val="none" w:sz="0" w:space="0" w:color="auto"/>
        <w:bottom w:val="none" w:sz="0" w:space="0" w:color="auto"/>
        <w:right w:val="none" w:sz="0" w:space="0" w:color="auto"/>
      </w:divBdr>
    </w:div>
    <w:div w:id="538322029">
      <w:bodyDiv w:val="1"/>
      <w:marLeft w:val="0"/>
      <w:marRight w:val="0"/>
      <w:marTop w:val="0"/>
      <w:marBottom w:val="0"/>
      <w:divBdr>
        <w:top w:val="none" w:sz="0" w:space="0" w:color="auto"/>
        <w:left w:val="none" w:sz="0" w:space="0" w:color="auto"/>
        <w:bottom w:val="none" w:sz="0" w:space="0" w:color="auto"/>
        <w:right w:val="none" w:sz="0" w:space="0" w:color="auto"/>
      </w:divBdr>
    </w:div>
    <w:div w:id="678654322">
      <w:bodyDiv w:val="1"/>
      <w:marLeft w:val="0"/>
      <w:marRight w:val="0"/>
      <w:marTop w:val="0"/>
      <w:marBottom w:val="0"/>
      <w:divBdr>
        <w:top w:val="none" w:sz="0" w:space="0" w:color="auto"/>
        <w:left w:val="none" w:sz="0" w:space="0" w:color="auto"/>
        <w:bottom w:val="none" w:sz="0" w:space="0" w:color="auto"/>
        <w:right w:val="none" w:sz="0" w:space="0" w:color="auto"/>
      </w:divBdr>
    </w:div>
    <w:div w:id="702360587">
      <w:bodyDiv w:val="1"/>
      <w:marLeft w:val="0"/>
      <w:marRight w:val="0"/>
      <w:marTop w:val="0"/>
      <w:marBottom w:val="0"/>
      <w:divBdr>
        <w:top w:val="none" w:sz="0" w:space="0" w:color="auto"/>
        <w:left w:val="none" w:sz="0" w:space="0" w:color="auto"/>
        <w:bottom w:val="none" w:sz="0" w:space="0" w:color="auto"/>
        <w:right w:val="none" w:sz="0" w:space="0" w:color="auto"/>
      </w:divBdr>
    </w:div>
    <w:div w:id="739790107">
      <w:bodyDiv w:val="1"/>
      <w:marLeft w:val="0"/>
      <w:marRight w:val="0"/>
      <w:marTop w:val="0"/>
      <w:marBottom w:val="0"/>
      <w:divBdr>
        <w:top w:val="none" w:sz="0" w:space="0" w:color="auto"/>
        <w:left w:val="none" w:sz="0" w:space="0" w:color="auto"/>
        <w:bottom w:val="none" w:sz="0" w:space="0" w:color="auto"/>
        <w:right w:val="none" w:sz="0" w:space="0" w:color="auto"/>
      </w:divBdr>
    </w:div>
    <w:div w:id="806314415">
      <w:bodyDiv w:val="1"/>
      <w:marLeft w:val="0"/>
      <w:marRight w:val="0"/>
      <w:marTop w:val="0"/>
      <w:marBottom w:val="0"/>
      <w:divBdr>
        <w:top w:val="none" w:sz="0" w:space="0" w:color="auto"/>
        <w:left w:val="none" w:sz="0" w:space="0" w:color="auto"/>
        <w:bottom w:val="none" w:sz="0" w:space="0" w:color="auto"/>
        <w:right w:val="none" w:sz="0" w:space="0" w:color="auto"/>
      </w:divBdr>
    </w:div>
    <w:div w:id="838539770">
      <w:bodyDiv w:val="1"/>
      <w:marLeft w:val="0"/>
      <w:marRight w:val="0"/>
      <w:marTop w:val="0"/>
      <w:marBottom w:val="0"/>
      <w:divBdr>
        <w:top w:val="none" w:sz="0" w:space="0" w:color="auto"/>
        <w:left w:val="none" w:sz="0" w:space="0" w:color="auto"/>
        <w:bottom w:val="none" w:sz="0" w:space="0" w:color="auto"/>
        <w:right w:val="none" w:sz="0" w:space="0" w:color="auto"/>
      </w:divBdr>
    </w:div>
    <w:div w:id="949582774">
      <w:bodyDiv w:val="1"/>
      <w:marLeft w:val="0"/>
      <w:marRight w:val="0"/>
      <w:marTop w:val="0"/>
      <w:marBottom w:val="0"/>
      <w:divBdr>
        <w:top w:val="none" w:sz="0" w:space="0" w:color="auto"/>
        <w:left w:val="none" w:sz="0" w:space="0" w:color="auto"/>
        <w:bottom w:val="none" w:sz="0" w:space="0" w:color="auto"/>
        <w:right w:val="none" w:sz="0" w:space="0" w:color="auto"/>
      </w:divBdr>
    </w:div>
    <w:div w:id="1018001452">
      <w:bodyDiv w:val="1"/>
      <w:marLeft w:val="0"/>
      <w:marRight w:val="0"/>
      <w:marTop w:val="0"/>
      <w:marBottom w:val="0"/>
      <w:divBdr>
        <w:top w:val="none" w:sz="0" w:space="0" w:color="auto"/>
        <w:left w:val="none" w:sz="0" w:space="0" w:color="auto"/>
        <w:bottom w:val="none" w:sz="0" w:space="0" w:color="auto"/>
        <w:right w:val="none" w:sz="0" w:space="0" w:color="auto"/>
      </w:divBdr>
    </w:div>
    <w:div w:id="1029644901">
      <w:bodyDiv w:val="1"/>
      <w:marLeft w:val="0"/>
      <w:marRight w:val="0"/>
      <w:marTop w:val="0"/>
      <w:marBottom w:val="0"/>
      <w:divBdr>
        <w:top w:val="none" w:sz="0" w:space="0" w:color="auto"/>
        <w:left w:val="none" w:sz="0" w:space="0" w:color="auto"/>
        <w:bottom w:val="none" w:sz="0" w:space="0" w:color="auto"/>
        <w:right w:val="none" w:sz="0" w:space="0" w:color="auto"/>
      </w:divBdr>
    </w:div>
    <w:div w:id="1041831719">
      <w:bodyDiv w:val="1"/>
      <w:marLeft w:val="0"/>
      <w:marRight w:val="0"/>
      <w:marTop w:val="0"/>
      <w:marBottom w:val="0"/>
      <w:divBdr>
        <w:top w:val="none" w:sz="0" w:space="0" w:color="auto"/>
        <w:left w:val="none" w:sz="0" w:space="0" w:color="auto"/>
        <w:bottom w:val="none" w:sz="0" w:space="0" w:color="auto"/>
        <w:right w:val="none" w:sz="0" w:space="0" w:color="auto"/>
      </w:divBdr>
    </w:div>
    <w:div w:id="1109395498">
      <w:bodyDiv w:val="1"/>
      <w:marLeft w:val="0"/>
      <w:marRight w:val="0"/>
      <w:marTop w:val="0"/>
      <w:marBottom w:val="0"/>
      <w:divBdr>
        <w:top w:val="none" w:sz="0" w:space="0" w:color="auto"/>
        <w:left w:val="none" w:sz="0" w:space="0" w:color="auto"/>
        <w:bottom w:val="none" w:sz="0" w:space="0" w:color="auto"/>
        <w:right w:val="none" w:sz="0" w:space="0" w:color="auto"/>
      </w:divBdr>
    </w:div>
    <w:div w:id="1132211992">
      <w:bodyDiv w:val="1"/>
      <w:marLeft w:val="0"/>
      <w:marRight w:val="0"/>
      <w:marTop w:val="0"/>
      <w:marBottom w:val="0"/>
      <w:divBdr>
        <w:top w:val="none" w:sz="0" w:space="0" w:color="auto"/>
        <w:left w:val="none" w:sz="0" w:space="0" w:color="auto"/>
        <w:bottom w:val="none" w:sz="0" w:space="0" w:color="auto"/>
        <w:right w:val="none" w:sz="0" w:space="0" w:color="auto"/>
      </w:divBdr>
    </w:div>
    <w:div w:id="1135223215">
      <w:bodyDiv w:val="1"/>
      <w:marLeft w:val="0"/>
      <w:marRight w:val="0"/>
      <w:marTop w:val="0"/>
      <w:marBottom w:val="0"/>
      <w:divBdr>
        <w:top w:val="none" w:sz="0" w:space="0" w:color="auto"/>
        <w:left w:val="none" w:sz="0" w:space="0" w:color="auto"/>
        <w:bottom w:val="none" w:sz="0" w:space="0" w:color="auto"/>
        <w:right w:val="none" w:sz="0" w:space="0" w:color="auto"/>
      </w:divBdr>
    </w:div>
    <w:div w:id="1170171434">
      <w:bodyDiv w:val="1"/>
      <w:marLeft w:val="0"/>
      <w:marRight w:val="0"/>
      <w:marTop w:val="0"/>
      <w:marBottom w:val="0"/>
      <w:divBdr>
        <w:top w:val="none" w:sz="0" w:space="0" w:color="auto"/>
        <w:left w:val="none" w:sz="0" w:space="0" w:color="auto"/>
        <w:bottom w:val="none" w:sz="0" w:space="0" w:color="auto"/>
        <w:right w:val="none" w:sz="0" w:space="0" w:color="auto"/>
      </w:divBdr>
    </w:div>
    <w:div w:id="1200511243">
      <w:bodyDiv w:val="1"/>
      <w:marLeft w:val="0"/>
      <w:marRight w:val="0"/>
      <w:marTop w:val="0"/>
      <w:marBottom w:val="0"/>
      <w:divBdr>
        <w:top w:val="none" w:sz="0" w:space="0" w:color="auto"/>
        <w:left w:val="none" w:sz="0" w:space="0" w:color="auto"/>
        <w:bottom w:val="none" w:sz="0" w:space="0" w:color="auto"/>
        <w:right w:val="none" w:sz="0" w:space="0" w:color="auto"/>
      </w:divBdr>
    </w:div>
    <w:div w:id="1219391727">
      <w:bodyDiv w:val="1"/>
      <w:marLeft w:val="0"/>
      <w:marRight w:val="0"/>
      <w:marTop w:val="0"/>
      <w:marBottom w:val="0"/>
      <w:divBdr>
        <w:top w:val="none" w:sz="0" w:space="0" w:color="auto"/>
        <w:left w:val="none" w:sz="0" w:space="0" w:color="auto"/>
        <w:bottom w:val="none" w:sz="0" w:space="0" w:color="auto"/>
        <w:right w:val="none" w:sz="0" w:space="0" w:color="auto"/>
      </w:divBdr>
    </w:div>
    <w:div w:id="1257443579">
      <w:bodyDiv w:val="1"/>
      <w:marLeft w:val="0"/>
      <w:marRight w:val="0"/>
      <w:marTop w:val="0"/>
      <w:marBottom w:val="0"/>
      <w:divBdr>
        <w:top w:val="none" w:sz="0" w:space="0" w:color="auto"/>
        <w:left w:val="none" w:sz="0" w:space="0" w:color="auto"/>
        <w:bottom w:val="none" w:sz="0" w:space="0" w:color="auto"/>
        <w:right w:val="none" w:sz="0" w:space="0" w:color="auto"/>
      </w:divBdr>
    </w:div>
    <w:div w:id="1332369890">
      <w:bodyDiv w:val="1"/>
      <w:marLeft w:val="0"/>
      <w:marRight w:val="0"/>
      <w:marTop w:val="0"/>
      <w:marBottom w:val="0"/>
      <w:divBdr>
        <w:top w:val="none" w:sz="0" w:space="0" w:color="auto"/>
        <w:left w:val="none" w:sz="0" w:space="0" w:color="auto"/>
        <w:bottom w:val="none" w:sz="0" w:space="0" w:color="auto"/>
        <w:right w:val="none" w:sz="0" w:space="0" w:color="auto"/>
      </w:divBdr>
    </w:div>
    <w:div w:id="1473324768">
      <w:bodyDiv w:val="1"/>
      <w:marLeft w:val="0"/>
      <w:marRight w:val="0"/>
      <w:marTop w:val="0"/>
      <w:marBottom w:val="0"/>
      <w:divBdr>
        <w:top w:val="none" w:sz="0" w:space="0" w:color="auto"/>
        <w:left w:val="none" w:sz="0" w:space="0" w:color="auto"/>
        <w:bottom w:val="none" w:sz="0" w:space="0" w:color="auto"/>
        <w:right w:val="none" w:sz="0" w:space="0" w:color="auto"/>
      </w:divBdr>
    </w:div>
    <w:div w:id="1477720324">
      <w:bodyDiv w:val="1"/>
      <w:marLeft w:val="0"/>
      <w:marRight w:val="0"/>
      <w:marTop w:val="0"/>
      <w:marBottom w:val="0"/>
      <w:divBdr>
        <w:top w:val="none" w:sz="0" w:space="0" w:color="auto"/>
        <w:left w:val="none" w:sz="0" w:space="0" w:color="auto"/>
        <w:bottom w:val="none" w:sz="0" w:space="0" w:color="auto"/>
        <w:right w:val="none" w:sz="0" w:space="0" w:color="auto"/>
      </w:divBdr>
    </w:div>
    <w:div w:id="1497259213">
      <w:bodyDiv w:val="1"/>
      <w:marLeft w:val="0"/>
      <w:marRight w:val="0"/>
      <w:marTop w:val="0"/>
      <w:marBottom w:val="0"/>
      <w:divBdr>
        <w:top w:val="none" w:sz="0" w:space="0" w:color="auto"/>
        <w:left w:val="none" w:sz="0" w:space="0" w:color="auto"/>
        <w:bottom w:val="none" w:sz="0" w:space="0" w:color="auto"/>
        <w:right w:val="none" w:sz="0" w:space="0" w:color="auto"/>
      </w:divBdr>
    </w:div>
    <w:div w:id="1537044736">
      <w:bodyDiv w:val="1"/>
      <w:marLeft w:val="0"/>
      <w:marRight w:val="0"/>
      <w:marTop w:val="0"/>
      <w:marBottom w:val="0"/>
      <w:divBdr>
        <w:top w:val="none" w:sz="0" w:space="0" w:color="auto"/>
        <w:left w:val="none" w:sz="0" w:space="0" w:color="auto"/>
        <w:bottom w:val="none" w:sz="0" w:space="0" w:color="auto"/>
        <w:right w:val="none" w:sz="0" w:space="0" w:color="auto"/>
      </w:divBdr>
    </w:div>
    <w:div w:id="1547329700">
      <w:bodyDiv w:val="1"/>
      <w:marLeft w:val="0"/>
      <w:marRight w:val="0"/>
      <w:marTop w:val="0"/>
      <w:marBottom w:val="0"/>
      <w:divBdr>
        <w:top w:val="none" w:sz="0" w:space="0" w:color="auto"/>
        <w:left w:val="none" w:sz="0" w:space="0" w:color="auto"/>
        <w:bottom w:val="none" w:sz="0" w:space="0" w:color="auto"/>
        <w:right w:val="none" w:sz="0" w:space="0" w:color="auto"/>
      </w:divBdr>
    </w:div>
    <w:div w:id="1580672512">
      <w:bodyDiv w:val="1"/>
      <w:marLeft w:val="0"/>
      <w:marRight w:val="0"/>
      <w:marTop w:val="0"/>
      <w:marBottom w:val="0"/>
      <w:divBdr>
        <w:top w:val="none" w:sz="0" w:space="0" w:color="auto"/>
        <w:left w:val="none" w:sz="0" w:space="0" w:color="auto"/>
        <w:bottom w:val="none" w:sz="0" w:space="0" w:color="auto"/>
        <w:right w:val="none" w:sz="0" w:space="0" w:color="auto"/>
      </w:divBdr>
    </w:div>
    <w:div w:id="1635985488">
      <w:bodyDiv w:val="1"/>
      <w:marLeft w:val="0"/>
      <w:marRight w:val="0"/>
      <w:marTop w:val="0"/>
      <w:marBottom w:val="0"/>
      <w:divBdr>
        <w:top w:val="none" w:sz="0" w:space="0" w:color="auto"/>
        <w:left w:val="none" w:sz="0" w:space="0" w:color="auto"/>
        <w:bottom w:val="none" w:sz="0" w:space="0" w:color="auto"/>
        <w:right w:val="none" w:sz="0" w:space="0" w:color="auto"/>
      </w:divBdr>
    </w:div>
    <w:div w:id="1653635160">
      <w:bodyDiv w:val="1"/>
      <w:marLeft w:val="0"/>
      <w:marRight w:val="0"/>
      <w:marTop w:val="0"/>
      <w:marBottom w:val="0"/>
      <w:divBdr>
        <w:top w:val="none" w:sz="0" w:space="0" w:color="auto"/>
        <w:left w:val="none" w:sz="0" w:space="0" w:color="auto"/>
        <w:bottom w:val="none" w:sz="0" w:space="0" w:color="auto"/>
        <w:right w:val="none" w:sz="0" w:space="0" w:color="auto"/>
      </w:divBdr>
    </w:div>
    <w:div w:id="1671909912">
      <w:bodyDiv w:val="1"/>
      <w:marLeft w:val="0"/>
      <w:marRight w:val="0"/>
      <w:marTop w:val="0"/>
      <w:marBottom w:val="0"/>
      <w:divBdr>
        <w:top w:val="none" w:sz="0" w:space="0" w:color="auto"/>
        <w:left w:val="none" w:sz="0" w:space="0" w:color="auto"/>
        <w:bottom w:val="none" w:sz="0" w:space="0" w:color="auto"/>
        <w:right w:val="none" w:sz="0" w:space="0" w:color="auto"/>
      </w:divBdr>
    </w:div>
    <w:div w:id="1793086189">
      <w:bodyDiv w:val="1"/>
      <w:marLeft w:val="0"/>
      <w:marRight w:val="0"/>
      <w:marTop w:val="0"/>
      <w:marBottom w:val="0"/>
      <w:divBdr>
        <w:top w:val="none" w:sz="0" w:space="0" w:color="auto"/>
        <w:left w:val="none" w:sz="0" w:space="0" w:color="auto"/>
        <w:bottom w:val="none" w:sz="0" w:space="0" w:color="auto"/>
        <w:right w:val="none" w:sz="0" w:space="0" w:color="auto"/>
      </w:divBdr>
    </w:div>
    <w:div w:id="1796439196">
      <w:bodyDiv w:val="1"/>
      <w:marLeft w:val="0"/>
      <w:marRight w:val="0"/>
      <w:marTop w:val="0"/>
      <w:marBottom w:val="0"/>
      <w:divBdr>
        <w:top w:val="none" w:sz="0" w:space="0" w:color="auto"/>
        <w:left w:val="none" w:sz="0" w:space="0" w:color="auto"/>
        <w:bottom w:val="none" w:sz="0" w:space="0" w:color="auto"/>
        <w:right w:val="none" w:sz="0" w:space="0" w:color="auto"/>
      </w:divBdr>
    </w:div>
    <w:div w:id="1801723827">
      <w:bodyDiv w:val="1"/>
      <w:marLeft w:val="0"/>
      <w:marRight w:val="0"/>
      <w:marTop w:val="0"/>
      <w:marBottom w:val="0"/>
      <w:divBdr>
        <w:top w:val="none" w:sz="0" w:space="0" w:color="auto"/>
        <w:left w:val="none" w:sz="0" w:space="0" w:color="auto"/>
        <w:bottom w:val="none" w:sz="0" w:space="0" w:color="auto"/>
        <w:right w:val="none" w:sz="0" w:space="0" w:color="auto"/>
      </w:divBdr>
    </w:div>
    <w:div w:id="1891723913">
      <w:bodyDiv w:val="1"/>
      <w:marLeft w:val="0"/>
      <w:marRight w:val="0"/>
      <w:marTop w:val="0"/>
      <w:marBottom w:val="0"/>
      <w:divBdr>
        <w:top w:val="none" w:sz="0" w:space="0" w:color="auto"/>
        <w:left w:val="none" w:sz="0" w:space="0" w:color="auto"/>
        <w:bottom w:val="none" w:sz="0" w:space="0" w:color="auto"/>
        <w:right w:val="none" w:sz="0" w:space="0" w:color="auto"/>
      </w:divBdr>
    </w:div>
    <w:div w:id="1955868074">
      <w:bodyDiv w:val="1"/>
      <w:marLeft w:val="0"/>
      <w:marRight w:val="0"/>
      <w:marTop w:val="0"/>
      <w:marBottom w:val="0"/>
      <w:divBdr>
        <w:top w:val="none" w:sz="0" w:space="0" w:color="auto"/>
        <w:left w:val="none" w:sz="0" w:space="0" w:color="auto"/>
        <w:bottom w:val="none" w:sz="0" w:space="0" w:color="auto"/>
        <w:right w:val="none" w:sz="0" w:space="0" w:color="auto"/>
      </w:divBdr>
    </w:div>
    <w:div w:id="1991664461">
      <w:bodyDiv w:val="1"/>
      <w:marLeft w:val="0"/>
      <w:marRight w:val="0"/>
      <w:marTop w:val="0"/>
      <w:marBottom w:val="0"/>
      <w:divBdr>
        <w:top w:val="none" w:sz="0" w:space="0" w:color="auto"/>
        <w:left w:val="none" w:sz="0" w:space="0" w:color="auto"/>
        <w:bottom w:val="none" w:sz="0" w:space="0" w:color="auto"/>
        <w:right w:val="none" w:sz="0" w:space="0" w:color="auto"/>
      </w:divBdr>
    </w:div>
    <w:div w:id="2011908228">
      <w:bodyDiv w:val="1"/>
      <w:marLeft w:val="0"/>
      <w:marRight w:val="0"/>
      <w:marTop w:val="0"/>
      <w:marBottom w:val="0"/>
      <w:divBdr>
        <w:top w:val="none" w:sz="0" w:space="0" w:color="auto"/>
        <w:left w:val="none" w:sz="0" w:space="0" w:color="auto"/>
        <w:bottom w:val="none" w:sz="0" w:space="0" w:color="auto"/>
        <w:right w:val="none" w:sz="0" w:space="0" w:color="auto"/>
      </w:divBdr>
    </w:div>
    <w:div w:id="213182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zghed.research@gmail.com"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terfas@univ-skikda.dz" TargetMode="Externa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Alt04</b:Tag>
    <b:SourceType>JournalArticle</b:SourceType>
    <b:Guid>{ABBC4E1F-D446-405D-85CA-C67F040093A1}</b:Guid>
    <b:Author>
      <b:Author>
        <b:NameList>
          <b:Person>
            <b:Last>Altbach</b:Last>
            <b:First>P.</b:First>
            <b:Middle>G</b:Middle>
          </b:Person>
        </b:NameList>
      </b:Author>
    </b:Author>
    <b:Title>Globalization and the university: Myths and realities in an unequal world. Higher Educationt</b:Title>
    <b:Year>2004</b:Year>
    <b:Pages>195-212</b:Pages>
    <b:Volume>48</b:Volume>
    <b:Issue>02</b:Issue>
    <b:RefOrder>1</b:RefOrder>
  </b:Source>
  <b:Source>
    <b:Tag>Era20</b:Tag>
    <b:SourceType>Report</b:SourceType>
    <b:Guid>{574C0795-B27A-4AEE-9529-1A8FB3DA8583}</b:Guid>
    <b:Author>
      <b:Author>
        <b:NameList>
          <b:Person>
            <b:Last>Erasmus+</b:Last>
          </b:Person>
        </b:NameList>
      </b:Author>
    </b:Author>
    <b:Title> Rapport annuel 2019</b:Title>
    <b:Year>2020</b:Year>
    <b:Publisher>Agence Erasmus+</b:Publisher>
    <b:RefOrder>2</b:RefOrder>
  </b:Source>
  <b:Source>
    <b:Tag>And23</b:Tag>
    <b:SourceType>JournalArticle</b:SourceType>
    <b:Guid>{801E4B2B-56DF-45D0-8162-0DEB02F3707E}</b:Guid>
    <b:Author>
      <b:Author>
        <b:NameList>
          <b:Person>
            <b:Last>Andreou</b:Last>
            <b:First>E</b:First>
          </b:Person>
          <b:Person>
            <b:Last>Deliou</b:Last>
            <b:First>C</b:First>
          </b:Person>
          <b:Person>
            <b:Last>Malagkoniari</b:Last>
            <b:First>M</b:First>
          </b:Person>
        </b:NameList>
      </b:Author>
    </b:Author>
    <b:Title>Graduate students' perspectives on their acquired skills following the Erasmus+ Programme.</b:Title>
    <b:Year>2023</b:Year>
    <b:Pages>6-19</b:Pages>
    <b:JournalName>Futurity Education</b:JournalName>
    <b:Volume>3</b:Volume>
    <b:Issue>3</b:Issue>
    <b:RefOrder>3</b:RefOrder>
  </b:Source>
  <b:Source>
    <b:Tag>Com191</b:Tag>
    <b:SourceType>Report</b:SourceType>
    <b:Guid>{43436D98-0C29-4514-AB2F-4E84EA3DE3CA}</b:Guid>
    <b:Author>
      <b:Author>
        <b:Corporate>Commission européenne</b:Corporate>
      </b:Author>
    </b:Author>
    <b:Title>Erasmus+ Annual Report 2018</b:Title>
    <b:Year>2019</b:Year>
    <b:Publisher>Publications Office of the European Union</b:Publisher>
    <b:RefOrder>4</b:RefOrder>
  </b:Source>
  <b:Source>
    <b:Tag>Com19</b:Tag>
    <b:SourceType>Report</b:SourceType>
    <b:Guid>{20C9021E-98FF-4EC3-919E-E561A5B91F3B}</b:Guid>
    <b:Author>
      <b:Author>
        <b:Corporate>Commission européenne</b:Corporate>
      </b:Author>
    </b:Author>
    <b:Title>Learning Agreement. Guide du programme Erasmus+</b:Title>
    <b:Year>2019</b:Year>
    <b:URL>https://erasmus-plus.ec.europa.eu/resources-and-tools/mobility-and-learning-agreements/learning-agreements</b:URL>
    <b:RefOrder>5</b:RefOrder>
  </b:Source>
  <b:Source>
    <b:Tag>Age21</b:Tag>
    <b:SourceType>Report</b:SourceType>
    <b:Guid>{92A5F15E-4307-42EE-A8A8-5DB08CA4BB86}</b:Guid>
    <b:Author>
      <b:Author>
        <b:Corporate>Agence Erasmus+ France</b:Corporate>
      </b:Author>
    </b:Author>
    <b:Title>Bilan du programme Erasmus + 2014-2020 en France</b:Title>
    <b:Year>2021</b:Year>
    <b:URL>https://agence.erasmusplus.fr/wp-content/uploads/2025/03/CP-Erasmus-Bilan1420-Perspectives2127-6.pdf</b:URL>
    <b:RefOrder>6</b:RefOrder>
  </b:Source>
  <b:Source>
    <b:Tag>Com22</b:Tag>
    <b:SourceType>Report</b:SourceType>
    <b:Guid>{5E2914D8-B6D2-48EE-BDCC-003D593E0379}</b:Guid>
    <b:Author>
      <b:Author>
        <b:Corporate>Commission européenne</b:Corporate>
      </b:Author>
    </b:Author>
    <b:Title>Erasmus+ Annual Report 2021</b:Title>
    <b:Year>2022</b:Year>
    <b:Publisher>Publications Office of the European Union</b:Publisher>
    <b:RefOrder>7</b:RefOrder>
  </b:Source>
  <b:Source>
    <b:Tag>Com23</b:Tag>
    <b:SourceType>Report</b:SourceType>
    <b:Guid>{22CF74E4-F02B-4488-8A62-EC5D346ABD95}</b:Guid>
    <b:Author>
      <b:Author>
        <b:Corporate>Commission européenne</b:Corporate>
      </b:Author>
    </b:Author>
    <b:Title> Erasmus+ Annual Report 2022</b:Title>
    <b:Year>2023</b:Year>
    <b:Publisher>Publications Office of the European Union</b:Publisher>
    <b:RefOrder>8</b:RefOrder>
  </b:Source>
  <b:Source>
    <b:Tag>Eur14</b:Tag>
    <b:SourceType>Report</b:SourceType>
    <b:Guid>{45CB2963-3AC3-423E-AE15-DA87519F333C}</b:Guid>
    <b:Author>
      <b:Author>
        <b:Corporate>European Commission</b:Corporate>
      </b:Author>
    </b:Author>
    <b:Title>Erasmus: The European Union Programme for student mobility</b:Title>
    <b:Year>2014</b:Year>
    <b:Publisher>Publication Office of the European Union</b:Publisher>
    <b:RefOrder>9</b:RefOrder>
  </b:Source>
  <b:Source>
    <b:Tag>Era22</b:Tag>
    <b:SourceType>Report</b:SourceType>
    <b:Guid>{4907C3B3-1D21-4130-92C8-C87A70FADD1E}</b:Guid>
    <b:Author>
      <b:Author>
        <b:Corporate>ErasmusJobs</b:Corporate>
      </b:Author>
    </b:Author>
    <b:Title>Skills gained through Erasmus+ mobility</b:Title>
    <b:Year>2022</b:Year>
    <b:Publisher>ErasmusJobs literature review</b:Publisher>
    <b:RefOrder>10</b:RefOrder>
  </b:Source>
  <b:Source>
    <b:Tag>Eur15</b:Tag>
    <b:SourceType>Report</b:SourceType>
    <b:Guid>{B241C870-C43D-4F57-934A-8224021EFD16}</b:Guid>
    <b:Author>
      <b:Author>
        <b:Corporate>European Association for Quality Assurance in Higher Education</b:Corporate>
      </b:Author>
    </b:Author>
    <b:Title>Standards and Guidelines for Quality Assurance in the European Higher Education Area (ESG)</b:Title>
    <b:Year>2015</b:Year>
    <b:RefOrder>11</b:RefOrder>
  </b:Source>
  <b:Source>
    <b:Tag>Eur23</b:Tag>
    <b:SourceType>Report</b:SourceType>
    <b:Guid>{DB2A551E-9A4B-4AAE-BBD1-FDDFBC8B84AE}</b:Guid>
    <b:Author>
      <b:Author>
        <b:Corporate>European Education and Culture Executive Agency</b:Corporate>
      </b:Author>
    </b:Author>
    <b:Title>Erasmus+ and the European Solidarity Corps: 2023 Annual Work Programme</b:Title>
    <b:Year>2023</b:Year>
    <b:Publisher>European Commission</b:Publisher>
    <b:RefOrder>12</b:RefOrder>
  </b:Source>
  <b:Source>
    <b:Tag>Har05</b:Tag>
    <b:SourceType>Book</b:SourceType>
    <b:Guid>{273FCEC8-039C-42DF-8527-F7DEEFDA94D3}</b:Guid>
    <b:Author>
      <b:Author>
        <b:NameList>
          <b:Person>
            <b:Last>Harvey</b:Last>
            <b:First>L</b:First>
          </b:Person>
        </b:NameList>
      </b:Author>
    </b:Author>
    <b:Title>A handbook for quality in higher education</b:Title>
    <b:Year>2005</b:Year>
    <b:Publisher>Routledge Falmer</b:Publisher>
    <b:RefOrder>13</b:RefOrder>
  </b:Source>
  <b:Source>
    <b:Tag>Har93</b:Tag>
    <b:SourceType>JournalArticle</b:SourceType>
    <b:Guid>{A686C7A0-06B6-47EA-832D-AD31B809DF1F}</b:Guid>
    <b:Author>
      <b:Author>
        <b:NameList>
          <b:Person>
            <b:Last>Harvey</b:Last>
            <b:First>L</b:First>
          </b:Person>
          <b:Person>
            <b:Last>Green</b:Last>
            <b:First>D</b:First>
          </b:Person>
        </b:NameList>
      </b:Author>
    </b:Author>
    <b:Title>Defining quality</b:Title>
    <b:Year>1993</b:Year>
    <b:JournalName>Assessment &amp; Evaluation in Higher Education</b:JournalName>
    <b:Pages>9-34</b:Pages>
    <b:Volume>34</b:Volume>
    <b:Issue>9</b:Issue>
    <b:RefOrder>14</b:RefOrder>
  </b:Source>
  <b:Source>
    <b:Tag>Hén10</b:Tag>
    <b:SourceType>Report</b:SourceType>
    <b:Guid>{325A7568-719F-4FE8-BFD0-CC9FC4D7BE1E}</b:Guid>
    <b:Author>
      <b:Author>
        <b:NameList>
          <b:Person>
            <b:Last>Hénard</b:Last>
            <b:First>F</b:First>
          </b:Person>
        </b:NameList>
      </b:Author>
    </b:Author>
    <b:Title>Learning and Teaching in Higher Education: A comparative overview of quality assurance frameworks</b:Title>
    <b:Year>2010</b:Year>
    <b:Publisher>OECD Publishing.</b:Publisher>
    <b:RefOrder>15</b:RefOrder>
  </b:Source>
  <b:Source>
    <b:Tag>Kin03</b:Tag>
    <b:SourceType>JournalArticle</b:SourceType>
    <b:Guid>{77C9A048-FE13-4C43-B54F-F0FD06938623}</b:Guid>
    <b:Author>
      <b:Author>
        <b:NameList>
          <b:Person>
            <b:Last>King</b:Last>
            <b:First>R</b:First>
          </b:Person>
          <b:Person>
            <b:Last>Ruiz-Gelices</b:Last>
            <b:First>E</b:First>
          </b:Person>
        </b:NameList>
      </b:Author>
    </b:Author>
    <b:Title>International student mobility and the European model</b:Title>
    <b:Year>2003</b:Year>
    <b:JournalName>Journal of Higher Education in Europe</b:JournalName>
    <b:Pages>325-341</b:Pages>
    <b:RefOrder>16</b:RefOrder>
  </b:Source>
  <b:Source>
    <b:Tag>Mai07</b:Tag>
    <b:SourceType>JournalArticle</b:SourceType>
    <b:Guid>{3CE300B8-2232-4345-A27B-D149B459769C}</b:Guid>
    <b:Author>
      <b:Author>
        <b:NameList>
          <b:Person>
            <b:Last>Maiworm</b:Last>
            <b:First>F</b:First>
          </b:Person>
          <b:Person>
            <b:Last>Teichler</b:Last>
            <b:First>U</b:First>
          </b:Person>
        </b:NameList>
      </b:Author>
    </b:Author>
    <b:Title>The professional and academic relevance of student mobility</b:Title>
    <b:JournalName>European Journal of Education</b:JournalName>
    <b:Year>2007</b:Year>
    <b:Pages>21-36</b:Pages>
    <b:RefOrder>17</b:RefOrder>
  </b:Source>
  <b:Source>
    <b:Tag>Tei11</b:Tag>
    <b:SourceType>JournalArticle</b:SourceType>
    <b:Guid>{5242EBD7-184A-41CC-B6F9-7D6E0063F027}</b:Guid>
    <b:Author>
      <b:Author>
        <b:NameList>
          <b:Person>
            <b:Last>Teichler</b:Last>
            <b:First>U</b:First>
          </b:Person>
        </b:NameList>
      </b:Author>
    </b:Author>
    <b:Title>Student mobility in the European Higher Education Area: Conceptual and practical challenges</b:Title>
    <b:JournalName>European Journal of Education</b:JournalName>
    <b:Year>2011</b:Year>
    <b:Pages>220-234</b:Pages>
    <b:Volume>46</b:Volume>
    <b:Issue>02</b:Issue>
    <b:RefOrder>18</b:RefOrder>
  </b:Source>
  <b:Source>
    <b:Tag>Vro95</b:Tag>
    <b:SourceType>JournalArticle</b:SourceType>
    <b:Guid>{EF75BA1E-D303-4772-B4F1-2A6F65B24685}</b:Guid>
    <b:Author>
      <b:Author>
        <b:NameList>
          <b:Person>
            <b:Last>Vroeijenstijn</b:Last>
            <b:First>A.</b:First>
            <b:Middle>I</b:Middle>
          </b:Person>
        </b:NameList>
      </b:Author>
    </b:Author>
    <b:Title>Improvement and accountability: Navigating between Scylla and Charybdis</b:Title>
    <b:JournalName>Jessica Kingsley Publishers</b:JournalName>
    <b:Year>1995</b:Year>
    <b:RefOrder>19</b:RefOrder>
  </b:Source>
  <b:Source>
    <b:Tag>era25</b:Tag>
    <b:SourceType>ElectronicSource</b:SourceType>
    <b:Guid>{E15F6DB3-975B-4556-8E5A-EAD7A0707D6A}</b:Guid>
    <b:Year>2025</b:Year>
    <b:Author>
      <b:Author>
        <b:Corporate>erasmus-plus</b:Corporate>
      </b:Author>
    </b:Author>
    <b:Month>08</b:Month>
    <b:Day>19</b:Day>
    <b:URL>https://erasmus-plus.ec.europa.eu/fr/programme-guide/part-a/eligible countries?#footnote1_8ckic5u</b:URL>
    <b:RefOrder>20</b:RefOrder>
  </b:Source>
  <b:Source>
    <b:Tag>sta25</b:Tag>
    <b:SourceType>ElectronicSource</b:SourceType>
    <b:Guid>{3DDECD64-7174-48D7-81D3-E837EAEB3368}</b:Guid>
    <b:Author>
      <b:Author>
        <b:NameList>
          <b:Person>
            <b:Last>statista</b:Last>
          </b:Person>
        </b:NameList>
      </b:Author>
    </b:Author>
    <b:Year>2025</b:Year>
    <b:URL>https://www.statista.com/chart/21224/learners-impacted-by-national-school-closures/</b:URL>
    <b:RefOrder>21</b:RefOrder>
  </b:Source>
</b:Sources>
</file>

<file path=customXml/itemProps1.xml><?xml version="1.0" encoding="utf-8"?>
<ds:datastoreItem xmlns:ds="http://schemas.openxmlformats.org/officeDocument/2006/customXml" ds:itemID="{DE09C65A-AF67-4D63-A638-95051111E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2821</TotalTime>
  <Pages>12</Pages>
  <Words>4650</Words>
  <Characters>25578</Characters>
  <Application>Microsoft Office Word</Application>
  <DocSecurity>0</DocSecurity>
  <Lines>213</Lines>
  <Paragraphs>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30168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Apm</dc:creator>
  <cp:keywords/>
  <dc:description/>
  <cp:lastModifiedBy>HP</cp:lastModifiedBy>
  <cp:revision>358</cp:revision>
  <dcterms:created xsi:type="dcterms:W3CDTF">2025-08-07T16:21:00Z</dcterms:created>
  <dcterms:modified xsi:type="dcterms:W3CDTF">2025-11-01T13:22:00Z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2967666b-6782-4fa5-a948-d525f2005dd3</vt:lpwstr>
  </property>
  <property fmtid="{D5CDD505-2E9C-101B-9397-08002B2CF9AE}" pid="3" name="Mendeley Document_1">
    <vt:lpwstr>True</vt:lpwstr>
  </property>
  <property fmtid="{D5CDD505-2E9C-101B-9397-08002B2CF9AE}" pid="4" name="Mendeley Unique User Id_1">
    <vt:lpwstr>89573a35-d36f-33c9-b94d-0b32c979a6aa</vt:lpwstr>
  </property>
</Properties>
</file>